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A684F" w:rsidRDefault="00F92268" w:rsidP="00850792">
      <w:pPr>
        <w:pStyle w:val="BodyText"/>
        <w:rPr>
          <w:sz w:val="6"/>
          <w:szCs w:val="6"/>
        </w:rPr>
      </w:pPr>
      <w:r w:rsidRPr="000A684F">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A684F"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A684F" w:rsidRDefault="00F92268" w:rsidP="00F246C7">
            <w:pPr>
              <w:pStyle w:val="RefTableData"/>
            </w:pPr>
            <w:r w:rsidRPr="000A684F">
              <w:t>Reference number(s)</w:t>
            </w:r>
          </w:p>
        </w:tc>
      </w:tr>
      <w:tr w:rsidR="00F92268" w:rsidRPr="000A684F"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8F97BAF" w:rsidR="00F92268" w:rsidRPr="000A684F" w:rsidRDefault="00E4232D" w:rsidP="00F246C7">
            <w:pPr>
              <w:pStyle w:val="RefTableHeader"/>
            </w:pPr>
            <w:r w:rsidRPr="000A684F">
              <w:t>1705-A</w:t>
            </w:r>
          </w:p>
        </w:tc>
      </w:tr>
    </w:tbl>
    <w:p w14:paraId="74FBA5B4" w14:textId="77777777" w:rsidR="00051356" w:rsidRPr="000A684F" w:rsidRDefault="00051356" w:rsidP="00A672B3">
      <w:pPr>
        <w:pStyle w:val="BodyText"/>
        <w:rPr>
          <w:b/>
          <w:bCs/>
          <w:sz w:val="16"/>
          <w:szCs w:val="16"/>
        </w:rPr>
        <w:sectPr w:rsidR="00051356" w:rsidRPr="000A684F" w:rsidSect="002933C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7E0D4F6C" w14:textId="06DBDA6A" w:rsidR="00E4232D" w:rsidRPr="000A684F" w:rsidRDefault="00E4232D" w:rsidP="00E4232D">
      <w:pPr>
        <w:pStyle w:val="Heading1"/>
      </w:pPr>
      <w:r w:rsidRPr="000A684F">
        <w:t>Specialty Guideline Management</w:t>
      </w:r>
      <w:r w:rsidRPr="000A684F">
        <w:br/>
      </w:r>
      <w:proofErr w:type="spellStart"/>
      <w:r w:rsidR="00B66F33">
        <w:t>b</w:t>
      </w:r>
      <w:r w:rsidRPr="000A684F">
        <w:t>endamustine</w:t>
      </w:r>
      <w:proofErr w:type="spellEnd"/>
      <w:r w:rsidR="00F949DF">
        <w:t xml:space="preserve"> </w:t>
      </w:r>
      <w:r w:rsidR="00B66F33">
        <w:t>p</w:t>
      </w:r>
      <w:r w:rsidR="00F949DF">
        <w:t>roducts</w:t>
      </w:r>
    </w:p>
    <w:p w14:paraId="78861C92" w14:textId="486DDFA7" w:rsidR="00203468" w:rsidRPr="000A684F" w:rsidRDefault="00C64534" w:rsidP="008E0F0D">
      <w:pPr>
        <w:pStyle w:val="Heading2"/>
      </w:pPr>
      <w:r w:rsidRPr="000A684F">
        <w:t xml:space="preserve">Products Referenced by this </w:t>
      </w:r>
      <w:r w:rsidR="00501602" w:rsidRPr="000A684F">
        <w:t>Document</w:t>
      </w:r>
    </w:p>
    <w:p w14:paraId="5455152B" w14:textId="630CEFEC" w:rsidR="008E0F0D" w:rsidRPr="000A684F" w:rsidRDefault="00D82D85" w:rsidP="008B73E8">
      <w:pPr>
        <w:pStyle w:val="BodyText"/>
      </w:pPr>
      <w:r w:rsidRPr="000A684F">
        <w:t xml:space="preserve">Drugs that are listed in the </w:t>
      </w:r>
      <w:r w:rsidR="000315F1" w:rsidRPr="000A684F">
        <w:t>following table</w:t>
      </w:r>
      <w:r w:rsidRPr="000A684F">
        <w:t xml:space="preserve"> include both brand and generic and all dosage forms and strengths unless otherwise stated. </w:t>
      </w:r>
      <w:r w:rsidR="00F3027D">
        <w:t>Over</w:t>
      </w:r>
      <w:r w:rsidR="00A70ED6">
        <w:t>-</w:t>
      </w:r>
      <w:r w:rsidR="00F3027D">
        <w:t>the</w:t>
      </w:r>
      <w:r w:rsidR="00A70ED6">
        <w:t>-</w:t>
      </w:r>
      <w:r w:rsidR="00F3027D">
        <w:t>counter (</w:t>
      </w:r>
      <w:r w:rsidRPr="000A684F">
        <w:t>OTC</w:t>
      </w:r>
      <w:r w:rsidR="00F3027D">
        <w:t>)</w:t>
      </w:r>
      <w:r w:rsidRPr="000A684F">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0A684F" w14:paraId="158421F8" w14:textId="77777777" w:rsidTr="000C5A6F">
        <w:trPr>
          <w:cantSplit/>
          <w:trHeight w:val="288"/>
          <w:tblHeader/>
        </w:trPr>
        <w:tc>
          <w:tcPr>
            <w:tcW w:w="5265" w:type="dxa"/>
            <w:vAlign w:val="center"/>
          </w:tcPr>
          <w:p w14:paraId="2A27354A" w14:textId="1390179E" w:rsidR="00252CE1" w:rsidRPr="000A684F" w:rsidRDefault="00252CE1" w:rsidP="00AA1E6A">
            <w:pPr>
              <w:pStyle w:val="TableHeader"/>
            </w:pPr>
            <w:bookmarkStart w:id="0" w:name="_Hlk159603270"/>
            <w:r w:rsidRPr="000A684F">
              <w:t>Brand Name</w:t>
            </w:r>
          </w:p>
        </w:tc>
        <w:tc>
          <w:tcPr>
            <w:tcW w:w="5595" w:type="dxa"/>
            <w:vAlign w:val="center"/>
          </w:tcPr>
          <w:p w14:paraId="3D342BE1" w14:textId="75F11EF1" w:rsidR="00252CE1" w:rsidRPr="000A684F" w:rsidRDefault="00252CE1" w:rsidP="00AA1E6A">
            <w:pPr>
              <w:pStyle w:val="TableHeader"/>
            </w:pPr>
            <w:r w:rsidRPr="000A684F">
              <w:t>Generic Name</w:t>
            </w:r>
          </w:p>
        </w:tc>
      </w:tr>
      <w:tr w:rsidR="00585FFF" w:rsidRPr="000A684F" w14:paraId="2AD5C02D" w14:textId="77777777" w:rsidTr="000C5A6F">
        <w:trPr>
          <w:cantSplit/>
        </w:trPr>
        <w:tc>
          <w:tcPr>
            <w:tcW w:w="5265" w:type="dxa"/>
          </w:tcPr>
          <w:p w14:paraId="2D8FA8E3" w14:textId="3937B459" w:rsidR="00585FFF" w:rsidRPr="000A684F" w:rsidRDefault="00E4232D" w:rsidP="00E82ABA">
            <w:pPr>
              <w:pStyle w:val="TableDataUnpadded"/>
            </w:pPr>
            <w:r w:rsidRPr="000A684F">
              <w:t>Treanda</w:t>
            </w:r>
          </w:p>
        </w:tc>
        <w:tc>
          <w:tcPr>
            <w:tcW w:w="5595" w:type="dxa"/>
          </w:tcPr>
          <w:p w14:paraId="7E26A004" w14:textId="13DBAD19" w:rsidR="00585FFF" w:rsidRPr="000A684F" w:rsidRDefault="00E4232D" w:rsidP="00E82ABA">
            <w:pPr>
              <w:pStyle w:val="TableDataUnpadded"/>
            </w:pPr>
            <w:r w:rsidRPr="000A684F">
              <w:t>bendamustine</w:t>
            </w:r>
          </w:p>
        </w:tc>
      </w:tr>
      <w:tr w:rsidR="00D21D0C" w:rsidRPr="000A684F" w14:paraId="79C2A122" w14:textId="77777777" w:rsidTr="000C5A6F">
        <w:trPr>
          <w:cantSplit/>
        </w:trPr>
        <w:tc>
          <w:tcPr>
            <w:tcW w:w="5265" w:type="dxa"/>
          </w:tcPr>
          <w:p w14:paraId="08001603" w14:textId="1C4E8E45" w:rsidR="00D21D0C" w:rsidRPr="000A684F" w:rsidRDefault="00E4232D" w:rsidP="00E82ABA">
            <w:pPr>
              <w:pStyle w:val="TableDataUnpadded"/>
            </w:pPr>
            <w:r w:rsidRPr="000A684F">
              <w:t>Bendeka</w:t>
            </w:r>
          </w:p>
        </w:tc>
        <w:tc>
          <w:tcPr>
            <w:tcW w:w="5595" w:type="dxa"/>
          </w:tcPr>
          <w:p w14:paraId="26C54A5D" w14:textId="771F1BE2" w:rsidR="00D21D0C" w:rsidRPr="000A684F" w:rsidRDefault="00E4232D" w:rsidP="00E82ABA">
            <w:pPr>
              <w:pStyle w:val="TableDataUnpadded"/>
            </w:pPr>
            <w:r w:rsidRPr="000A684F">
              <w:t>bendamustine</w:t>
            </w:r>
          </w:p>
        </w:tc>
      </w:tr>
      <w:tr w:rsidR="00D21D0C" w:rsidRPr="000A684F" w14:paraId="420A61B5" w14:textId="77777777" w:rsidTr="000C5A6F">
        <w:trPr>
          <w:cantSplit/>
        </w:trPr>
        <w:tc>
          <w:tcPr>
            <w:tcW w:w="5265" w:type="dxa"/>
          </w:tcPr>
          <w:p w14:paraId="064084F6" w14:textId="73DC34B5" w:rsidR="00D21D0C" w:rsidRPr="000A684F" w:rsidRDefault="00E4232D" w:rsidP="00E82ABA">
            <w:pPr>
              <w:pStyle w:val="TableDataUnpadded"/>
            </w:pPr>
            <w:r w:rsidRPr="000A684F">
              <w:t>Belrapzo</w:t>
            </w:r>
          </w:p>
        </w:tc>
        <w:tc>
          <w:tcPr>
            <w:tcW w:w="5595" w:type="dxa"/>
          </w:tcPr>
          <w:p w14:paraId="5BE6D872" w14:textId="3670028F" w:rsidR="00D21D0C" w:rsidRPr="000A684F" w:rsidRDefault="00E4232D" w:rsidP="00E82ABA">
            <w:pPr>
              <w:pStyle w:val="TableDataUnpadded"/>
            </w:pPr>
            <w:r w:rsidRPr="000A684F">
              <w:t>bendamustine</w:t>
            </w:r>
          </w:p>
        </w:tc>
      </w:tr>
      <w:tr w:rsidR="00E4232D" w:rsidRPr="000A684F" w14:paraId="14F5B3FE" w14:textId="77777777" w:rsidTr="000C5A6F">
        <w:trPr>
          <w:cantSplit/>
        </w:trPr>
        <w:tc>
          <w:tcPr>
            <w:tcW w:w="5265" w:type="dxa"/>
          </w:tcPr>
          <w:p w14:paraId="40C85FF8" w14:textId="3106C67B" w:rsidR="00E4232D" w:rsidRPr="000A684F" w:rsidRDefault="00E4232D" w:rsidP="00E82ABA">
            <w:pPr>
              <w:pStyle w:val="TableDataUnpadded"/>
            </w:pPr>
            <w:proofErr w:type="spellStart"/>
            <w:r w:rsidRPr="000A684F">
              <w:t>Vivimusta</w:t>
            </w:r>
            <w:proofErr w:type="spellEnd"/>
          </w:p>
        </w:tc>
        <w:tc>
          <w:tcPr>
            <w:tcW w:w="5595" w:type="dxa"/>
          </w:tcPr>
          <w:p w14:paraId="621684E8" w14:textId="633E680C" w:rsidR="00E4232D" w:rsidRPr="000A684F" w:rsidRDefault="00E4232D" w:rsidP="00E82ABA">
            <w:pPr>
              <w:pStyle w:val="TableDataUnpadded"/>
            </w:pPr>
            <w:r w:rsidRPr="000A684F">
              <w:t>bendamustine</w:t>
            </w:r>
          </w:p>
        </w:tc>
      </w:tr>
    </w:tbl>
    <w:bookmarkEnd w:id="0"/>
    <w:p w14:paraId="14CE6108" w14:textId="4613BDB0" w:rsidR="00FC1AAD" w:rsidRPr="000A684F" w:rsidRDefault="00ED052F" w:rsidP="00AA2A94">
      <w:pPr>
        <w:pStyle w:val="Heading2"/>
        <w:tabs>
          <w:tab w:val="left" w:pos="9540"/>
        </w:tabs>
      </w:pPr>
      <w:r w:rsidRPr="000A684F">
        <w:t>Indications</w:t>
      </w:r>
    </w:p>
    <w:p w14:paraId="025C5CF5" w14:textId="31DB60D5" w:rsidR="00E4232D" w:rsidRPr="000A684F" w:rsidRDefault="00E4232D" w:rsidP="00E4232D">
      <w:r w:rsidRPr="000A684F">
        <w:t>The indications below including FDA-approved indications and compendial uses are considered a covered benefit provided that all the approval criteria are met and the member has no exclusions to the prescribed therapy.</w:t>
      </w:r>
    </w:p>
    <w:p w14:paraId="134B5687" w14:textId="01F8222B" w:rsidR="00ED052F" w:rsidRPr="000A684F" w:rsidRDefault="00ED052F" w:rsidP="00ED052F">
      <w:pPr>
        <w:pStyle w:val="Heading3"/>
        <w:keepNext w:val="0"/>
      </w:pPr>
      <w:r w:rsidRPr="000A684F">
        <w:t>FDA-</w:t>
      </w:r>
      <w:r w:rsidR="00B57C84" w:rsidRPr="000A684F">
        <w:t>A</w:t>
      </w:r>
      <w:r w:rsidRPr="000A684F">
        <w:t>pproved Indications</w:t>
      </w:r>
    </w:p>
    <w:p w14:paraId="32F98B51" w14:textId="2FE0BAE0" w:rsidR="00E4232D" w:rsidRPr="000A684F" w:rsidRDefault="00E4232D" w:rsidP="006477BB">
      <w:pPr>
        <w:pStyle w:val="ListParagraph"/>
        <w:numPr>
          <w:ilvl w:val="0"/>
          <w:numId w:val="47"/>
        </w:numPr>
      </w:pPr>
      <w:r w:rsidRPr="000A684F">
        <w:t>Chronic lymphocytic leukemia (CLL)</w:t>
      </w:r>
    </w:p>
    <w:p w14:paraId="5FA6D652" w14:textId="4D610BA5" w:rsidR="00E4232D" w:rsidRPr="000A684F" w:rsidRDefault="00E4232D" w:rsidP="006477BB">
      <w:pPr>
        <w:pStyle w:val="ListParagraph"/>
        <w:numPr>
          <w:ilvl w:val="0"/>
          <w:numId w:val="47"/>
        </w:numPr>
      </w:pPr>
      <w:r w:rsidRPr="000A684F">
        <w:t>Indolent B-cell non-Hodgkin lymphoma (NHL) that has progressed during or within six months of treatment with rituximab or a rituximab-containing regimen</w:t>
      </w:r>
    </w:p>
    <w:p w14:paraId="0B5EC236" w14:textId="325D4216" w:rsidR="0044763A" w:rsidRPr="000A684F" w:rsidRDefault="009F2EF1" w:rsidP="0044763A">
      <w:pPr>
        <w:pStyle w:val="Heading3"/>
      </w:pPr>
      <w:r w:rsidRPr="000A684F">
        <w:t>Compendial Uses</w:t>
      </w:r>
    </w:p>
    <w:p w14:paraId="394362BD" w14:textId="11C093F0" w:rsidR="008E3F6A" w:rsidRPr="000A684F" w:rsidRDefault="008E3F6A" w:rsidP="006477BB">
      <w:pPr>
        <w:pStyle w:val="ListParagraph"/>
        <w:numPr>
          <w:ilvl w:val="0"/>
          <w:numId w:val="21"/>
        </w:numPr>
      </w:pPr>
      <w:r w:rsidRPr="000A684F">
        <w:t>Classic Hodgkin lymphoma (</w:t>
      </w:r>
      <w:proofErr w:type="spellStart"/>
      <w:r w:rsidRPr="000A684F">
        <w:t>cHL</w:t>
      </w:r>
      <w:proofErr w:type="spellEnd"/>
      <w:r w:rsidRPr="000A684F">
        <w:t>)</w:t>
      </w:r>
    </w:p>
    <w:p w14:paraId="692FC3A6" w14:textId="6BD1DE94" w:rsidR="008E3F6A" w:rsidRPr="000A684F" w:rsidRDefault="008E3F6A" w:rsidP="006477BB">
      <w:pPr>
        <w:pStyle w:val="ListParagraph"/>
        <w:numPr>
          <w:ilvl w:val="0"/>
          <w:numId w:val="21"/>
        </w:numPr>
      </w:pPr>
      <w:r w:rsidRPr="000A684F">
        <w:t>Nodular lymphocyte predominant Hodgkin lymphoma (NLPHL)</w:t>
      </w:r>
    </w:p>
    <w:p w14:paraId="6871B316" w14:textId="7A2BD9B9" w:rsidR="008E3F6A" w:rsidRPr="000A684F" w:rsidRDefault="008E3F6A" w:rsidP="006477BB">
      <w:pPr>
        <w:pStyle w:val="ListParagraph"/>
        <w:numPr>
          <w:ilvl w:val="0"/>
          <w:numId w:val="21"/>
        </w:numPr>
      </w:pPr>
      <w:r w:rsidRPr="000A684F">
        <w:t>Multiple myeloma (MM)</w:t>
      </w:r>
    </w:p>
    <w:p w14:paraId="6CF02F87" w14:textId="32576B75" w:rsidR="008E3F6A" w:rsidRPr="000A684F" w:rsidRDefault="008E3F6A" w:rsidP="006477BB">
      <w:pPr>
        <w:pStyle w:val="ListParagraph"/>
        <w:numPr>
          <w:ilvl w:val="0"/>
          <w:numId w:val="21"/>
        </w:numPr>
      </w:pPr>
      <w:r w:rsidRPr="000A684F">
        <w:t>CLL/small lymphocytic lymphoma (SLL)</w:t>
      </w:r>
    </w:p>
    <w:p w14:paraId="555C3465" w14:textId="407FDA65" w:rsidR="008E3F6A" w:rsidRPr="000A684F" w:rsidRDefault="008E3F6A" w:rsidP="006477BB">
      <w:pPr>
        <w:pStyle w:val="ListParagraph"/>
        <w:numPr>
          <w:ilvl w:val="0"/>
          <w:numId w:val="21"/>
        </w:numPr>
      </w:pPr>
      <w:r w:rsidRPr="000A684F">
        <w:lastRenderedPageBreak/>
        <w:t>B-cell lymphomas:</w:t>
      </w:r>
    </w:p>
    <w:p w14:paraId="4D52E553" w14:textId="3D2FD788" w:rsidR="008E3F6A" w:rsidRPr="000A684F" w:rsidRDefault="008E3F6A" w:rsidP="006477BB">
      <w:pPr>
        <w:pStyle w:val="ListParagraph"/>
        <w:numPr>
          <w:ilvl w:val="1"/>
          <w:numId w:val="22"/>
        </w:numPr>
      </w:pPr>
      <w:r w:rsidRPr="000A684F">
        <w:t>Human immunodeficiency virus (HIV)-related B-cell lymphoma</w:t>
      </w:r>
    </w:p>
    <w:p w14:paraId="00348ACE" w14:textId="71FAD405" w:rsidR="008E3F6A" w:rsidRPr="000A684F" w:rsidRDefault="008E3F6A" w:rsidP="006477BB">
      <w:pPr>
        <w:pStyle w:val="ListParagraph"/>
        <w:numPr>
          <w:ilvl w:val="1"/>
          <w:numId w:val="22"/>
        </w:numPr>
        <w:rPr>
          <w:lang w:val="fr-FR"/>
        </w:rPr>
      </w:pPr>
      <w:r w:rsidRPr="000A684F">
        <w:rPr>
          <w:lang w:val="fr-FR"/>
        </w:rPr>
        <w:t>Diffuse large B-</w:t>
      </w:r>
      <w:proofErr w:type="spellStart"/>
      <w:r w:rsidRPr="000A684F">
        <w:rPr>
          <w:lang w:val="fr-FR"/>
        </w:rPr>
        <w:t>cell</w:t>
      </w:r>
      <w:proofErr w:type="spellEnd"/>
      <w:r w:rsidRPr="000A684F">
        <w:rPr>
          <w:lang w:val="fr-FR"/>
        </w:rPr>
        <w:t xml:space="preserve"> </w:t>
      </w:r>
      <w:proofErr w:type="spellStart"/>
      <w:r w:rsidRPr="000A684F">
        <w:rPr>
          <w:lang w:val="fr-FR"/>
        </w:rPr>
        <w:t>lymphoma</w:t>
      </w:r>
      <w:proofErr w:type="spellEnd"/>
      <w:r w:rsidRPr="000A684F">
        <w:rPr>
          <w:lang w:val="fr-FR"/>
        </w:rPr>
        <w:t xml:space="preserve"> (DLBCL)</w:t>
      </w:r>
    </w:p>
    <w:p w14:paraId="7ABDB8A7" w14:textId="4CF0D72C" w:rsidR="008E3F6A" w:rsidRPr="000A684F" w:rsidRDefault="008E3F6A" w:rsidP="006477BB">
      <w:pPr>
        <w:pStyle w:val="ListParagraph"/>
        <w:numPr>
          <w:ilvl w:val="1"/>
          <w:numId w:val="22"/>
        </w:numPr>
      </w:pPr>
      <w:r w:rsidRPr="000A684F">
        <w:t>Follicular lymphoma</w:t>
      </w:r>
    </w:p>
    <w:p w14:paraId="5B61EB3C" w14:textId="6C099607" w:rsidR="008E3F6A" w:rsidRPr="000A684F" w:rsidRDefault="008E3F6A" w:rsidP="006477BB">
      <w:pPr>
        <w:pStyle w:val="ListParagraph"/>
        <w:numPr>
          <w:ilvl w:val="1"/>
          <w:numId w:val="22"/>
        </w:numPr>
      </w:pPr>
      <w:r w:rsidRPr="000A684F">
        <w:t>High grade B-cell lymphoma</w:t>
      </w:r>
    </w:p>
    <w:p w14:paraId="568A3BBB" w14:textId="61AC49B6" w:rsidR="008E3F6A" w:rsidRPr="000A684F" w:rsidRDefault="008E3F6A" w:rsidP="006477BB">
      <w:pPr>
        <w:pStyle w:val="ListParagraph"/>
        <w:numPr>
          <w:ilvl w:val="1"/>
          <w:numId w:val="22"/>
        </w:numPr>
      </w:pPr>
      <w:r w:rsidRPr="000A684F">
        <w:t>Histologic transformation of indolent lymphomas to diffuse large B-cell lymphoma</w:t>
      </w:r>
    </w:p>
    <w:p w14:paraId="10225419" w14:textId="4A296109" w:rsidR="008E3F6A" w:rsidRPr="000A684F" w:rsidRDefault="008E3F6A" w:rsidP="006477BB">
      <w:pPr>
        <w:pStyle w:val="ListParagraph"/>
        <w:numPr>
          <w:ilvl w:val="1"/>
          <w:numId w:val="22"/>
        </w:numPr>
      </w:pPr>
      <w:r w:rsidRPr="000A684F">
        <w:t>Marginal zone lymphoma</w:t>
      </w:r>
    </w:p>
    <w:p w14:paraId="1000EA6C" w14:textId="07FD4353" w:rsidR="008E3F6A" w:rsidRPr="000A684F" w:rsidRDefault="008E3F6A" w:rsidP="006477BB">
      <w:pPr>
        <w:pStyle w:val="ListParagraph"/>
        <w:numPr>
          <w:ilvl w:val="2"/>
          <w:numId w:val="24"/>
        </w:numPr>
      </w:pPr>
      <w:r w:rsidRPr="000A684F">
        <w:t>Nodal marginal zone lymphoma</w:t>
      </w:r>
    </w:p>
    <w:p w14:paraId="0E2DF293" w14:textId="4799EA7B" w:rsidR="008E3F6A" w:rsidRPr="000A684F" w:rsidRDefault="008E3F6A" w:rsidP="006477BB">
      <w:pPr>
        <w:pStyle w:val="ListParagraph"/>
        <w:numPr>
          <w:ilvl w:val="2"/>
          <w:numId w:val="24"/>
        </w:numPr>
      </w:pPr>
      <w:r w:rsidRPr="000A684F">
        <w:t>Gastric mucosa associated lymphoid tissue (MALT) lymphoma (extranodal marginal zone lymphoma of the stomach)</w:t>
      </w:r>
    </w:p>
    <w:p w14:paraId="13BFB3DE" w14:textId="76C54067" w:rsidR="008E3F6A" w:rsidRPr="000A684F" w:rsidRDefault="008E3F6A" w:rsidP="006477BB">
      <w:pPr>
        <w:pStyle w:val="ListParagraph"/>
        <w:numPr>
          <w:ilvl w:val="2"/>
          <w:numId w:val="24"/>
        </w:numPr>
      </w:pPr>
      <w:proofErr w:type="spellStart"/>
      <w:r w:rsidRPr="000A684F">
        <w:t>Nongastric</w:t>
      </w:r>
      <w:proofErr w:type="spellEnd"/>
      <w:r w:rsidRPr="000A684F">
        <w:t xml:space="preserve"> MALT lymphoma (</w:t>
      </w:r>
      <w:proofErr w:type="spellStart"/>
      <w:r w:rsidRPr="000A684F">
        <w:t>extranodal</w:t>
      </w:r>
      <w:proofErr w:type="spellEnd"/>
      <w:r w:rsidRPr="000A684F">
        <w:t xml:space="preserve"> marginal zone lymphoma of </w:t>
      </w:r>
      <w:proofErr w:type="spellStart"/>
      <w:r w:rsidRPr="000A684F">
        <w:t>nongastric</w:t>
      </w:r>
      <w:proofErr w:type="spellEnd"/>
      <w:r w:rsidRPr="000A684F">
        <w:t xml:space="preserve"> sites)</w:t>
      </w:r>
    </w:p>
    <w:p w14:paraId="3C64038C" w14:textId="0844B9D0" w:rsidR="008E3F6A" w:rsidRPr="000A684F" w:rsidRDefault="008E3F6A" w:rsidP="006477BB">
      <w:pPr>
        <w:pStyle w:val="ListParagraph"/>
        <w:numPr>
          <w:ilvl w:val="2"/>
          <w:numId w:val="24"/>
        </w:numPr>
      </w:pPr>
      <w:r w:rsidRPr="000A684F">
        <w:t>Splenic marginal zone lymphoma</w:t>
      </w:r>
    </w:p>
    <w:p w14:paraId="63E8D8AA" w14:textId="31560C5D" w:rsidR="008E3F6A" w:rsidRPr="000A684F" w:rsidRDefault="008E3F6A" w:rsidP="006477BB">
      <w:pPr>
        <w:pStyle w:val="ListParagraph"/>
        <w:numPr>
          <w:ilvl w:val="1"/>
          <w:numId w:val="23"/>
        </w:numPr>
      </w:pPr>
      <w:r w:rsidRPr="000A684F">
        <w:t>Mantle cell lymphoma (MCL)</w:t>
      </w:r>
    </w:p>
    <w:p w14:paraId="76CCE48C" w14:textId="070C12DA" w:rsidR="008E3F6A" w:rsidRPr="000A684F" w:rsidRDefault="008E3F6A" w:rsidP="006477BB">
      <w:pPr>
        <w:pStyle w:val="ListParagraph"/>
        <w:numPr>
          <w:ilvl w:val="1"/>
          <w:numId w:val="23"/>
        </w:numPr>
      </w:pPr>
      <w:r w:rsidRPr="000A684F">
        <w:t>Post-transplant lymphoproliferative disorders (PTLD)</w:t>
      </w:r>
    </w:p>
    <w:p w14:paraId="2D68B331" w14:textId="460EE09B" w:rsidR="008E3F6A" w:rsidRPr="000A684F" w:rsidRDefault="008E3F6A" w:rsidP="006477BB">
      <w:pPr>
        <w:pStyle w:val="ListParagraph"/>
        <w:numPr>
          <w:ilvl w:val="0"/>
          <w:numId w:val="21"/>
        </w:numPr>
      </w:pPr>
      <w:r w:rsidRPr="000A684F">
        <w:t>T-cell lymphomas:</w:t>
      </w:r>
    </w:p>
    <w:p w14:paraId="24AF1AAC" w14:textId="48199393" w:rsidR="008E3F6A" w:rsidRPr="000A684F" w:rsidRDefault="008E3F6A" w:rsidP="006477BB">
      <w:pPr>
        <w:pStyle w:val="ListParagraph"/>
        <w:numPr>
          <w:ilvl w:val="1"/>
          <w:numId w:val="25"/>
        </w:numPr>
      </w:pPr>
      <w:r w:rsidRPr="000A684F">
        <w:t>Adult T-cell leukemia/lymphoma (ATLL)</w:t>
      </w:r>
    </w:p>
    <w:p w14:paraId="6C9EF0FA" w14:textId="1F145452" w:rsidR="008E3F6A" w:rsidRPr="000A684F" w:rsidRDefault="008E3F6A" w:rsidP="006477BB">
      <w:pPr>
        <w:pStyle w:val="ListParagraph"/>
        <w:numPr>
          <w:ilvl w:val="1"/>
          <w:numId w:val="25"/>
        </w:numPr>
      </w:pPr>
      <w:r w:rsidRPr="000A684F">
        <w:t>Hepatosplenic T-Cell lymphoma</w:t>
      </w:r>
    </w:p>
    <w:p w14:paraId="288FA560" w14:textId="77BBEA25" w:rsidR="008E3F6A" w:rsidRPr="000A684F" w:rsidRDefault="008E3F6A" w:rsidP="006477BB">
      <w:pPr>
        <w:pStyle w:val="ListParagraph"/>
        <w:numPr>
          <w:ilvl w:val="1"/>
          <w:numId w:val="25"/>
        </w:numPr>
        <w:rPr>
          <w:lang w:val="fr-FR"/>
        </w:rPr>
      </w:pPr>
      <w:proofErr w:type="spellStart"/>
      <w:r w:rsidRPr="000A684F">
        <w:rPr>
          <w:lang w:val="fr-FR"/>
        </w:rPr>
        <w:t>Peripheral</w:t>
      </w:r>
      <w:proofErr w:type="spellEnd"/>
      <w:r w:rsidRPr="000A684F">
        <w:rPr>
          <w:lang w:val="fr-FR"/>
        </w:rPr>
        <w:t xml:space="preserve"> T-</w:t>
      </w:r>
      <w:proofErr w:type="spellStart"/>
      <w:r w:rsidRPr="000A684F">
        <w:rPr>
          <w:lang w:val="fr-FR"/>
        </w:rPr>
        <w:t>cell</w:t>
      </w:r>
      <w:proofErr w:type="spellEnd"/>
      <w:r w:rsidRPr="000A684F">
        <w:rPr>
          <w:lang w:val="fr-FR"/>
        </w:rPr>
        <w:t xml:space="preserve"> </w:t>
      </w:r>
      <w:proofErr w:type="spellStart"/>
      <w:r w:rsidRPr="000A684F">
        <w:rPr>
          <w:lang w:val="fr-FR"/>
        </w:rPr>
        <w:t>lymphoma</w:t>
      </w:r>
      <w:proofErr w:type="spellEnd"/>
      <w:r w:rsidRPr="000A684F">
        <w:rPr>
          <w:lang w:val="fr-FR"/>
        </w:rPr>
        <w:t xml:space="preserve"> (PTCL)</w:t>
      </w:r>
    </w:p>
    <w:p w14:paraId="29C825C6" w14:textId="75B3641B" w:rsidR="008E3F6A" w:rsidRDefault="008E3F6A" w:rsidP="006477BB">
      <w:pPr>
        <w:pStyle w:val="ListParagraph"/>
        <w:numPr>
          <w:ilvl w:val="1"/>
          <w:numId w:val="25"/>
        </w:numPr>
      </w:pPr>
      <w:r w:rsidRPr="000A684F">
        <w:t>Breast implant associated anaplastic large cell lymphoma (ALCL)</w:t>
      </w:r>
    </w:p>
    <w:p w14:paraId="39BFBA8F" w14:textId="45B30429" w:rsidR="007345CD" w:rsidRPr="000A684F" w:rsidRDefault="007345CD" w:rsidP="006477BB">
      <w:pPr>
        <w:pStyle w:val="ListParagraph"/>
        <w:numPr>
          <w:ilvl w:val="1"/>
          <w:numId w:val="25"/>
        </w:numPr>
      </w:pPr>
      <w:r>
        <w:t>T-cell prolymphocytic leukemia</w:t>
      </w:r>
    </w:p>
    <w:p w14:paraId="7E5DE4DB" w14:textId="654890A9" w:rsidR="008E3F6A" w:rsidRPr="000A684F" w:rsidRDefault="008E3F6A" w:rsidP="006477BB">
      <w:pPr>
        <w:pStyle w:val="ListParagraph"/>
        <w:numPr>
          <w:ilvl w:val="0"/>
          <w:numId w:val="21"/>
        </w:numPr>
      </w:pPr>
      <w:r w:rsidRPr="000A684F">
        <w:t>Waldenström’s macroglobulinemia/lymphoplasmacytic lymphoma/Bing-Neel syndrome</w:t>
      </w:r>
    </w:p>
    <w:p w14:paraId="7321B425" w14:textId="66A3CB14" w:rsidR="008E3F6A" w:rsidRPr="000A684F" w:rsidRDefault="008E3F6A" w:rsidP="006477BB">
      <w:pPr>
        <w:pStyle w:val="ListParagraph"/>
        <w:numPr>
          <w:ilvl w:val="0"/>
          <w:numId w:val="21"/>
        </w:numPr>
      </w:pPr>
      <w:r w:rsidRPr="000A684F">
        <w:t>Systemic light chain amyloidosis</w:t>
      </w:r>
    </w:p>
    <w:p w14:paraId="6F08E2C1" w14:textId="5B6AFFFB" w:rsidR="008E3F6A" w:rsidRPr="000A684F" w:rsidRDefault="008E3F6A" w:rsidP="006477BB">
      <w:pPr>
        <w:pStyle w:val="ListParagraph"/>
        <w:numPr>
          <w:ilvl w:val="0"/>
          <w:numId w:val="21"/>
        </w:numPr>
      </w:pPr>
      <w:r w:rsidRPr="000A684F">
        <w:t>Hematopoietic cell transplantation</w:t>
      </w:r>
    </w:p>
    <w:p w14:paraId="42EFF4EF" w14:textId="0FE8A757" w:rsidR="008E3F6A" w:rsidRPr="000A684F" w:rsidRDefault="008E3F6A" w:rsidP="006477BB">
      <w:pPr>
        <w:pStyle w:val="ListParagraph"/>
        <w:numPr>
          <w:ilvl w:val="0"/>
          <w:numId w:val="21"/>
        </w:numPr>
      </w:pPr>
      <w:r w:rsidRPr="000A684F">
        <w:t>Cold agglutinin disease</w:t>
      </w:r>
    </w:p>
    <w:p w14:paraId="70A53758" w14:textId="06FF8C3D" w:rsidR="008E3F6A" w:rsidRPr="000A684F" w:rsidRDefault="008E3F6A" w:rsidP="006477BB">
      <w:pPr>
        <w:pStyle w:val="ListParagraph"/>
        <w:numPr>
          <w:ilvl w:val="0"/>
          <w:numId w:val="21"/>
        </w:numPr>
        <w:spacing w:after="120"/>
      </w:pPr>
      <w:r w:rsidRPr="000A684F">
        <w:t>Mycosis fungoides (MF) and Sezary syndrome (SS)</w:t>
      </w:r>
    </w:p>
    <w:p w14:paraId="077E547F" w14:textId="3DB7250E" w:rsidR="008E3F6A" w:rsidRPr="000A684F" w:rsidRDefault="008E3F6A" w:rsidP="00843F6E">
      <w:pPr>
        <w:pStyle w:val="BodyText"/>
      </w:pPr>
      <w:r w:rsidRPr="000A684F">
        <w:t>All other indications are considered experimental/investigational and not medically necessary.</w:t>
      </w:r>
    </w:p>
    <w:p w14:paraId="50A38FBA" w14:textId="418D8F21" w:rsidR="00FE0C63" w:rsidRPr="000A684F" w:rsidRDefault="00685107" w:rsidP="00E050E1">
      <w:pPr>
        <w:pStyle w:val="Heading2"/>
      </w:pPr>
      <w:r w:rsidRPr="000A684F">
        <w:t>Coverage Criteria</w:t>
      </w:r>
    </w:p>
    <w:p w14:paraId="1A672193" w14:textId="0E532FB3" w:rsidR="008E3F6A" w:rsidRPr="000A684F" w:rsidRDefault="008E3F6A" w:rsidP="008E3F6A">
      <w:pPr>
        <w:pStyle w:val="Heading3"/>
      </w:pPr>
      <w:r w:rsidRPr="000A684F">
        <w:t>B</w:t>
      </w:r>
      <w:r w:rsidR="004B7366" w:rsidRPr="000A684F">
        <w:t>-Cell Lymphoma</w:t>
      </w:r>
    </w:p>
    <w:p w14:paraId="017FB629" w14:textId="77777777" w:rsidR="008E3F6A" w:rsidRPr="000A684F" w:rsidRDefault="008E3F6A" w:rsidP="00843F6E">
      <w:pPr>
        <w:pStyle w:val="BodyText"/>
      </w:pPr>
      <w:r w:rsidRPr="000A684F">
        <w:t>Authorization of 12 months may be granted for treatment of B-cell lymphomas with any of the following subtypes:</w:t>
      </w:r>
    </w:p>
    <w:p w14:paraId="1B7BE763" w14:textId="0DBBD8DB" w:rsidR="008E3F6A" w:rsidRPr="000A684F" w:rsidRDefault="008E3F6A" w:rsidP="006477BB">
      <w:pPr>
        <w:pStyle w:val="ListParagraph"/>
        <w:numPr>
          <w:ilvl w:val="0"/>
          <w:numId w:val="37"/>
        </w:numPr>
      </w:pPr>
      <w:r w:rsidRPr="000A684F">
        <w:t>HIV-related B-cell lymphoma (HIV-related diffuse large B-cell lymphoma, primary effusion lymphoma, and human herpesvirus-8 (HHV8)-positive diffuse large B-cell lymphoma, plasmablastic lymphoma) when all of the following criteria are met:</w:t>
      </w:r>
    </w:p>
    <w:p w14:paraId="7B68860C" w14:textId="3D574FD4" w:rsidR="008E3F6A" w:rsidRPr="000A684F" w:rsidRDefault="008E3F6A" w:rsidP="006477BB">
      <w:pPr>
        <w:pStyle w:val="ListParagraph"/>
        <w:numPr>
          <w:ilvl w:val="1"/>
          <w:numId w:val="38"/>
        </w:numPr>
      </w:pPr>
      <w:r w:rsidRPr="000A684F">
        <w:t>The requested drug is used as subsequent therapy</w:t>
      </w:r>
    </w:p>
    <w:p w14:paraId="73EB71D4" w14:textId="61AA3946" w:rsidR="008E3F6A" w:rsidRPr="000A684F" w:rsidRDefault="008E3F6A" w:rsidP="006477BB">
      <w:pPr>
        <w:pStyle w:val="ListParagraph"/>
        <w:numPr>
          <w:ilvl w:val="1"/>
          <w:numId w:val="38"/>
        </w:numPr>
      </w:pPr>
      <w:r w:rsidRPr="000A684F">
        <w:t>The requested drug is used in combination with polatuzumab vedotin-piiq with or without rituximab</w:t>
      </w:r>
    </w:p>
    <w:p w14:paraId="2A7AD72A" w14:textId="30B948AC" w:rsidR="008E3F6A" w:rsidRPr="000A684F" w:rsidRDefault="008E3F6A" w:rsidP="006477BB">
      <w:pPr>
        <w:pStyle w:val="ListParagraph"/>
        <w:numPr>
          <w:ilvl w:val="1"/>
          <w:numId w:val="38"/>
        </w:numPr>
      </w:pPr>
      <w:r w:rsidRPr="000A684F">
        <w:t>The member is not a candidate for transplant or the requested drug will be used as a bridging option until CAR T-cell product is available</w:t>
      </w:r>
    </w:p>
    <w:p w14:paraId="459D378E" w14:textId="72823B38" w:rsidR="008E3F6A" w:rsidRPr="000A684F" w:rsidRDefault="008E3F6A" w:rsidP="006477BB">
      <w:pPr>
        <w:pStyle w:val="ListParagraph"/>
        <w:numPr>
          <w:ilvl w:val="0"/>
          <w:numId w:val="37"/>
        </w:numPr>
      </w:pPr>
      <w:r w:rsidRPr="000A684F">
        <w:t>Diffuse large B-cell lymphoma (DLBCL) when all of the following criteria are met:</w:t>
      </w:r>
    </w:p>
    <w:p w14:paraId="3B691F7F" w14:textId="1771A9F1" w:rsidR="008E3F6A" w:rsidRPr="000A684F" w:rsidRDefault="008E3F6A" w:rsidP="006477BB">
      <w:pPr>
        <w:pStyle w:val="ListParagraph"/>
        <w:numPr>
          <w:ilvl w:val="1"/>
          <w:numId w:val="39"/>
        </w:numPr>
      </w:pPr>
      <w:r w:rsidRPr="000A684F">
        <w:t>The requested drug is used as subsequent therapy</w:t>
      </w:r>
    </w:p>
    <w:p w14:paraId="4AEA2DF7" w14:textId="5B627559" w:rsidR="008E3F6A" w:rsidRPr="000A684F" w:rsidRDefault="008E3F6A" w:rsidP="006477BB">
      <w:pPr>
        <w:pStyle w:val="ListParagraph"/>
        <w:numPr>
          <w:ilvl w:val="1"/>
          <w:numId w:val="39"/>
        </w:numPr>
      </w:pPr>
      <w:r w:rsidRPr="000A684F">
        <w:t>The requested drug is used in combination with polatuzumab vedotin-piiq with or without rituximab</w:t>
      </w:r>
    </w:p>
    <w:p w14:paraId="14F24CFA" w14:textId="509EFEF9" w:rsidR="008E3F6A" w:rsidRPr="000A684F" w:rsidRDefault="008E3F6A" w:rsidP="006477BB">
      <w:pPr>
        <w:pStyle w:val="ListParagraph"/>
        <w:numPr>
          <w:ilvl w:val="1"/>
          <w:numId w:val="39"/>
        </w:numPr>
      </w:pPr>
      <w:r w:rsidRPr="000A684F">
        <w:t>The member is not a candidate for transplant or the requested drug will be used as a bridging option until CAR T-cell product is available</w:t>
      </w:r>
    </w:p>
    <w:p w14:paraId="2E7FCA0B" w14:textId="281ED47C" w:rsidR="008E3F6A" w:rsidRPr="000A684F" w:rsidRDefault="008E3F6A" w:rsidP="006477BB">
      <w:pPr>
        <w:pStyle w:val="ListParagraph"/>
        <w:numPr>
          <w:ilvl w:val="0"/>
          <w:numId w:val="37"/>
        </w:numPr>
      </w:pPr>
      <w:r w:rsidRPr="000A684F">
        <w:t>Follicular lymphoma</w:t>
      </w:r>
    </w:p>
    <w:p w14:paraId="7776DCD0" w14:textId="46D99B68" w:rsidR="008E3F6A" w:rsidRPr="000A684F" w:rsidRDefault="008E3F6A" w:rsidP="006477BB">
      <w:pPr>
        <w:pStyle w:val="ListParagraph"/>
        <w:numPr>
          <w:ilvl w:val="0"/>
          <w:numId w:val="37"/>
        </w:numPr>
      </w:pPr>
      <w:r w:rsidRPr="000A684F">
        <w:t>High-grade B-cell lymphoma when all of the following criteria are met:</w:t>
      </w:r>
    </w:p>
    <w:p w14:paraId="26020915" w14:textId="4B55AC2B" w:rsidR="008E3F6A" w:rsidRPr="000A684F" w:rsidRDefault="008E3F6A" w:rsidP="006477BB">
      <w:pPr>
        <w:pStyle w:val="ListParagraph"/>
        <w:numPr>
          <w:ilvl w:val="1"/>
          <w:numId w:val="40"/>
        </w:numPr>
      </w:pPr>
      <w:r w:rsidRPr="000A684F">
        <w:t>The requested drug is used as subsequent therapy</w:t>
      </w:r>
    </w:p>
    <w:p w14:paraId="3723254C" w14:textId="5C715F01" w:rsidR="008E3F6A" w:rsidRPr="000A684F" w:rsidRDefault="008E3F6A" w:rsidP="006477BB">
      <w:pPr>
        <w:pStyle w:val="ListParagraph"/>
        <w:numPr>
          <w:ilvl w:val="1"/>
          <w:numId w:val="40"/>
        </w:numPr>
      </w:pPr>
      <w:r w:rsidRPr="000A684F">
        <w:t>The requested drug will be used in combination with polatuzumab vedotin-piiq with or without rituximab</w:t>
      </w:r>
    </w:p>
    <w:p w14:paraId="5A5AB710" w14:textId="5F195F40" w:rsidR="008E3F6A" w:rsidRPr="000A684F" w:rsidRDefault="008E3F6A" w:rsidP="006477BB">
      <w:pPr>
        <w:pStyle w:val="ListParagraph"/>
        <w:numPr>
          <w:ilvl w:val="1"/>
          <w:numId w:val="40"/>
        </w:numPr>
      </w:pPr>
      <w:r w:rsidRPr="000A684F">
        <w:t>The member is not a candidate for transplant or the requested drug will be used as a bridging option until CAR T-cell product is available.</w:t>
      </w:r>
    </w:p>
    <w:p w14:paraId="652DD493" w14:textId="44F805E3" w:rsidR="008E3F6A" w:rsidRPr="000A684F" w:rsidRDefault="008E3F6A" w:rsidP="006477BB">
      <w:pPr>
        <w:pStyle w:val="ListParagraph"/>
        <w:numPr>
          <w:ilvl w:val="0"/>
          <w:numId w:val="37"/>
        </w:numPr>
      </w:pPr>
      <w:r w:rsidRPr="000A684F">
        <w:t>Histologic transformation of indolent lymphomas to diffuse large B-cell lymphoma when all of the following criteria are met:</w:t>
      </w:r>
    </w:p>
    <w:p w14:paraId="2A40FD98" w14:textId="1DFE5548" w:rsidR="008E3F6A" w:rsidRPr="000A684F" w:rsidRDefault="008E3F6A" w:rsidP="006477BB">
      <w:pPr>
        <w:pStyle w:val="ListParagraph"/>
        <w:numPr>
          <w:ilvl w:val="1"/>
          <w:numId w:val="41"/>
        </w:numPr>
      </w:pPr>
      <w:r w:rsidRPr="000A684F">
        <w:t>The requested drug is used in combination with polatuzumab vedotin-piiq with or without rituximab.</w:t>
      </w:r>
    </w:p>
    <w:p w14:paraId="1A4D832B" w14:textId="14732F40" w:rsidR="008E3F6A" w:rsidRPr="000A684F" w:rsidRDefault="008E3F6A" w:rsidP="006477BB">
      <w:pPr>
        <w:pStyle w:val="ListParagraph"/>
        <w:numPr>
          <w:ilvl w:val="1"/>
          <w:numId w:val="41"/>
        </w:numPr>
      </w:pPr>
      <w:r w:rsidRPr="000A684F">
        <w:t>The member has received treatment with an anthracycline-based regimen (e.g., doxorubicin)</w:t>
      </w:r>
    </w:p>
    <w:p w14:paraId="2AADBF05" w14:textId="76122919" w:rsidR="008E3F6A" w:rsidRPr="000A684F" w:rsidRDefault="008E3F6A" w:rsidP="006477BB">
      <w:pPr>
        <w:pStyle w:val="ListParagraph"/>
        <w:numPr>
          <w:ilvl w:val="1"/>
          <w:numId w:val="41"/>
        </w:numPr>
      </w:pPr>
      <w:r w:rsidRPr="000A684F">
        <w:t>The member is not a candidate for transplant.</w:t>
      </w:r>
    </w:p>
    <w:p w14:paraId="6685F7B5" w14:textId="3DCD99C7" w:rsidR="008E3F6A" w:rsidRPr="000A684F" w:rsidRDefault="008E3F6A" w:rsidP="006477BB">
      <w:pPr>
        <w:pStyle w:val="ListParagraph"/>
        <w:numPr>
          <w:ilvl w:val="0"/>
          <w:numId w:val="37"/>
        </w:numPr>
      </w:pPr>
      <w:r w:rsidRPr="000A684F">
        <w:t xml:space="preserve">Mantle cell lymphoma (MCL) when </w:t>
      </w:r>
      <w:r w:rsidR="005F5735">
        <w:t>any</w:t>
      </w:r>
      <w:r w:rsidRPr="000A684F">
        <w:t xml:space="preserve"> of the following criteria are met:</w:t>
      </w:r>
    </w:p>
    <w:p w14:paraId="3C7CD33D" w14:textId="5573FFAA" w:rsidR="008E3F6A" w:rsidRPr="000A684F" w:rsidRDefault="008E3F6A" w:rsidP="006477BB">
      <w:pPr>
        <w:pStyle w:val="ListParagraph"/>
        <w:numPr>
          <w:ilvl w:val="1"/>
          <w:numId w:val="42"/>
        </w:numPr>
      </w:pPr>
      <w:r w:rsidRPr="000A684F">
        <w:t>The requested drug is used in combination with rituximab, or</w:t>
      </w:r>
    </w:p>
    <w:p w14:paraId="1BC0A800" w14:textId="1EB50D21" w:rsidR="008E3F6A" w:rsidRDefault="008E3F6A" w:rsidP="006477BB">
      <w:pPr>
        <w:pStyle w:val="ListParagraph"/>
        <w:numPr>
          <w:ilvl w:val="1"/>
          <w:numId w:val="42"/>
        </w:numPr>
      </w:pPr>
      <w:r w:rsidRPr="000A684F">
        <w:t>The requested drug</w:t>
      </w:r>
      <w:r w:rsidR="00711909">
        <w:t xml:space="preserve"> is used</w:t>
      </w:r>
      <w:r w:rsidRPr="000A684F">
        <w:t xml:space="preserve"> as a component of RBAC500 (rituximab, </w:t>
      </w:r>
      <w:proofErr w:type="spellStart"/>
      <w:r w:rsidRPr="000A684F">
        <w:t>bendamustine</w:t>
      </w:r>
      <w:proofErr w:type="spellEnd"/>
      <w:r w:rsidRPr="000A684F">
        <w:t>, and cytarabine)</w:t>
      </w:r>
      <w:r w:rsidR="005F5735">
        <w:t>,</w:t>
      </w:r>
      <w:r w:rsidR="00D931BC">
        <w:t xml:space="preserve"> </w:t>
      </w:r>
      <w:r w:rsidR="005F5735">
        <w:t>or</w:t>
      </w:r>
    </w:p>
    <w:p w14:paraId="7BFF4EC2" w14:textId="39A26D15" w:rsidR="005F5735" w:rsidRPr="000A684F" w:rsidRDefault="005F5735" w:rsidP="006477BB">
      <w:pPr>
        <w:pStyle w:val="ListParagraph"/>
        <w:numPr>
          <w:ilvl w:val="1"/>
          <w:numId w:val="42"/>
        </w:numPr>
      </w:pPr>
      <w:r>
        <w:t>The requested drug is used in combination with acalabrutinib and rituximab</w:t>
      </w:r>
    </w:p>
    <w:p w14:paraId="48F9BD80" w14:textId="60DD1B28" w:rsidR="008E3F6A" w:rsidRPr="000A684F" w:rsidRDefault="008E3F6A" w:rsidP="006477BB">
      <w:pPr>
        <w:pStyle w:val="ListParagraph"/>
        <w:numPr>
          <w:ilvl w:val="0"/>
          <w:numId w:val="37"/>
        </w:numPr>
      </w:pPr>
      <w:r w:rsidRPr="000A684F">
        <w:t>Marginal zone lymphoma</w:t>
      </w:r>
    </w:p>
    <w:p w14:paraId="2FE7A580" w14:textId="359CE249" w:rsidR="008E3F6A" w:rsidRPr="000A684F" w:rsidRDefault="008E3F6A" w:rsidP="006477BB">
      <w:pPr>
        <w:pStyle w:val="ListParagraph"/>
        <w:numPr>
          <w:ilvl w:val="1"/>
          <w:numId w:val="43"/>
        </w:numPr>
      </w:pPr>
      <w:r w:rsidRPr="000A684F">
        <w:t>Nodal marginal zone lymphoma when used in combination with rituximab or obinutuzumab.</w:t>
      </w:r>
    </w:p>
    <w:p w14:paraId="64C4FCB5" w14:textId="22371B69" w:rsidR="008E3F6A" w:rsidRPr="000A684F" w:rsidRDefault="008E3F6A" w:rsidP="006477BB">
      <w:pPr>
        <w:pStyle w:val="ListParagraph"/>
        <w:numPr>
          <w:ilvl w:val="1"/>
          <w:numId w:val="43"/>
        </w:numPr>
      </w:pPr>
      <w:r w:rsidRPr="000A684F">
        <w:t>Gastric MALT lymphoma (extranodal marginal zone lymphoma of the stomach) when used in combination with rituximab or obinutuzumab.</w:t>
      </w:r>
    </w:p>
    <w:p w14:paraId="741FAA74" w14:textId="7D953D77" w:rsidR="008E3F6A" w:rsidRPr="000A684F" w:rsidRDefault="008E3F6A" w:rsidP="006477BB">
      <w:pPr>
        <w:pStyle w:val="ListParagraph"/>
        <w:numPr>
          <w:ilvl w:val="1"/>
          <w:numId w:val="43"/>
        </w:numPr>
      </w:pPr>
      <w:proofErr w:type="spellStart"/>
      <w:r w:rsidRPr="000A684F">
        <w:t>Nongastric</w:t>
      </w:r>
      <w:proofErr w:type="spellEnd"/>
      <w:r w:rsidRPr="000A684F">
        <w:t xml:space="preserve"> MALT lymphoma (</w:t>
      </w:r>
      <w:proofErr w:type="spellStart"/>
      <w:r w:rsidRPr="000A684F">
        <w:t>extranodal</w:t>
      </w:r>
      <w:proofErr w:type="spellEnd"/>
      <w:r w:rsidRPr="000A684F">
        <w:t xml:space="preserve"> marginal zone lymphoma of </w:t>
      </w:r>
      <w:proofErr w:type="spellStart"/>
      <w:r w:rsidRPr="000A684F">
        <w:t>nongastric</w:t>
      </w:r>
      <w:proofErr w:type="spellEnd"/>
      <w:r w:rsidRPr="000A684F">
        <w:t xml:space="preserve"> sites) when used in combination with rituximab or obinutuzumab.</w:t>
      </w:r>
    </w:p>
    <w:p w14:paraId="7DDB2A42" w14:textId="4F54CC45" w:rsidR="008E3F6A" w:rsidRPr="000A684F" w:rsidRDefault="008E3F6A" w:rsidP="006477BB">
      <w:pPr>
        <w:pStyle w:val="ListParagraph"/>
        <w:numPr>
          <w:ilvl w:val="1"/>
          <w:numId w:val="43"/>
        </w:numPr>
      </w:pPr>
      <w:r w:rsidRPr="000A684F">
        <w:t>Splenic marginal zone lymphoma when used in combination with rituximab or obinutuzumab.</w:t>
      </w:r>
    </w:p>
    <w:p w14:paraId="5BF12B93" w14:textId="74F22E07" w:rsidR="008E3F6A" w:rsidRPr="000A684F" w:rsidRDefault="008E3F6A" w:rsidP="006477BB">
      <w:pPr>
        <w:pStyle w:val="ListParagraph"/>
        <w:numPr>
          <w:ilvl w:val="0"/>
          <w:numId w:val="37"/>
        </w:numPr>
      </w:pPr>
      <w:r w:rsidRPr="000A684F">
        <w:t xml:space="preserve">Post-transplant lymphoproliferative disorders (monomorphic PTLD B-cell type) when all of the following criteria are met: </w:t>
      </w:r>
    </w:p>
    <w:p w14:paraId="4E217B25" w14:textId="617E0A96" w:rsidR="008E3F6A" w:rsidRPr="000A684F" w:rsidRDefault="008E3F6A" w:rsidP="006477BB">
      <w:pPr>
        <w:pStyle w:val="ListParagraph"/>
        <w:numPr>
          <w:ilvl w:val="1"/>
          <w:numId w:val="44"/>
        </w:numPr>
      </w:pPr>
      <w:r w:rsidRPr="000A684F">
        <w:t>The requested drug is used as subsequent therapy</w:t>
      </w:r>
    </w:p>
    <w:p w14:paraId="757E24FD" w14:textId="389D94BB" w:rsidR="008E3F6A" w:rsidRPr="000A684F" w:rsidRDefault="008E3F6A" w:rsidP="006477BB">
      <w:pPr>
        <w:pStyle w:val="ListParagraph"/>
        <w:numPr>
          <w:ilvl w:val="1"/>
          <w:numId w:val="44"/>
        </w:numPr>
      </w:pPr>
      <w:r w:rsidRPr="000A684F">
        <w:t>The member is not a candidate for transplant or the requested drug will be used as a bridging option until CAR T-cell product is available</w:t>
      </w:r>
    </w:p>
    <w:p w14:paraId="67CDDAA7" w14:textId="0888C914" w:rsidR="008E3F6A" w:rsidRPr="000A684F" w:rsidRDefault="008E3F6A" w:rsidP="006477BB">
      <w:pPr>
        <w:pStyle w:val="ListParagraph"/>
        <w:numPr>
          <w:ilvl w:val="1"/>
          <w:numId w:val="44"/>
        </w:numPr>
      </w:pPr>
      <w:r w:rsidRPr="000A684F">
        <w:t>The requested drug will be used in combination with polatuzumab vedotin-piiq with or without rituximab</w:t>
      </w:r>
    </w:p>
    <w:p w14:paraId="5F4A3400" w14:textId="2859960F" w:rsidR="008E3F6A" w:rsidRPr="000A684F" w:rsidRDefault="008E3F6A" w:rsidP="00FE4EA5">
      <w:pPr>
        <w:pStyle w:val="Heading3"/>
      </w:pPr>
      <w:r w:rsidRPr="000A684F">
        <w:t>T</w:t>
      </w:r>
      <w:r w:rsidR="004B7366" w:rsidRPr="000A684F">
        <w:t>-Cell Lymphoma</w:t>
      </w:r>
    </w:p>
    <w:p w14:paraId="3CB9BD17" w14:textId="77777777" w:rsidR="008E3F6A" w:rsidRPr="000A684F" w:rsidRDefault="008E3F6A" w:rsidP="00843F6E">
      <w:pPr>
        <w:pStyle w:val="BodyText"/>
      </w:pPr>
      <w:r w:rsidRPr="000A684F">
        <w:t>Authorization of 12 months may be granted for treatment of T-cell lymphomas with any of the following subtypes:</w:t>
      </w:r>
    </w:p>
    <w:p w14:paraId="3C97F412" w14:textId="33BDC0AB" w:rsidR="008E3F6A" w:rsidRPr="000A684F" w:rsidRDefault="008E3F6A" w:rsidP="006477BB">
      <w:pPr>
        <w:pStyle w:val="ListParagraph"/>
        <w:numPr>
          <w:ilvl w:val="0"/>
          <w:numId w:val="32"/>
        </w:numPr>
      </w:pPr>
      <w:r w:rsidRPr="000A684F">
        <w:t>Adult T-cell leukemia/lymphoma (ATLL) when all of the following criteria are met:</w:t>
      </w:r>
    </w:p>
    <w:p w14:paraId="2C7B32C7" w14:textId="067E01DC" w:rsidR="008E3F6A" w:rsidRPr="000A684F" w:rsidRDefault="008E3F6A" w:rsidP="006477BB">
      <w:pPr>
        <w:pStyle w:val="ListParagraph"/>
        <w:numPr>
          <w:ilvl w:val="1"/>
          <w:numId w:val="33"/>
        </w:numPr>
      </w:pPr>
      <w:r w:rsidRPr="000A684F">
        <w:t>The requested drug is used as a single agent</w:t>
      </w:r>
    </w:p>
    <w:p w14:paraId="0D57C6C6" w14:textId="73CE52AC" w:rsidR="008E3F6A" w:rsidRPr="000A684F" w:rsidRDefault="008E3F6A" w:rsidP="006477BB">
      <w:pPr>
        <w:pStyle w:val="ListParagraph"/>
        <w:numPr>
          <w:ilvl w:val="1"/>
          <w:numId w:val="33"/>
        </w:numPr>
      </w:pPr>
      <w:r w:rsidRPr="000A684F">
        <w:t>The requested drug is used as subsequent therapy</w:t>
      </w:r>
    </w:p>
    <w:p w14:paraId="7B716288" w14:textId="2C934CD5" w:rsidR="008E3F6A" w:rsidRPr="000A684F" w:rsidRDefault="008E3F6A" w:rsidP="006477BB">
      <w:pPr>
        <w:pStyle w:val="ListParagraph"/>
        <w:numPr>
          <w:ilvl w:val="0"/>
          <w:numId w:val="32"/>
        </w:numPr>
      </w:pPr>
      <w:r w:rsidRPr="000A684F">
        <w:t>Hepatosplenic T-Cell lymphoma when all of the following criteria are met:</w:t>
      </w:r>
    </w:p>
    <w:p w14:paraId="47DDFBFC" w14:textId="65196292" w:rsidR="008E3F6A" w:rsidRPr="000A684F" w:rsidRDefault="008E3F6A" w:rsidP="006477BB">
      <w:pPr>
        <w:pStyle w:val="ListParagraph"/>
        <w:numPr>
          <w:ilvl w:val="1"/>
          <w:numId w:val="34"/>
        </w:numPr>
      </w:pPr>
      <w:r w:rsidRPr="000A684F">
        <w:t>The requested drug is used as a single agent</w:t>
      </w:r>
    </w:p>
    <w:p w14:paraId="2A18C0B3" w14:textId="3A5573E8" w:rsidR="008E3F6A" w:rsidRPr="000A684F" w:rsidRDefault="008E3F6A" w:rsidP="006477BB">
      <w:pPr>
        <w:pStyle w:val="ListParagraph"/>
        <w:numPr>
          <w:ilvl w:val="1"/>
          <w:numId w:val="34"/>
        </w:numPr>
      </w:pPr>
      <w:r w:rsidRPr="000A684F">
        <w:t>The requested drug is used for refractory disease after 2 first-line therapy regimens</w:t>
      </w:r>
    </w:p>
    <w:p w14:paraId="12A557D1" w14:textId="2E15FA5A" w:rsidR="008E3F6A" w:rsidRPr="000A684F" w:rsidRDefault="008E3F6A" w:rsidP="006477BB">
      <w:pPr>
        <w:pStyle w:val="ListParagraph"/>
        <w:numPr>
          <w:ilvl w:val="0"/>
          <w:numId w:val="32"/>
        </w:numPr>
      </w:pPr>
      <w:r w:rsidRPr="000A684F">
        <w:t>Peripheral T-cell lymphoma (PTCL) [including the following subtypes: anaplastic large cell lymphoma, peripheral T-cell lymphoma not otherwise specified, angioimmunoblastic T-cell lymphoma, enteropathy associated T-cell lymphoma, monomorphic epitheliotropic intestinal T-cell lymphoma, nodal peripheral T-cell lymphoma with TFH phenotype, or follicular T-cell lymphoma] when all of the following criteria are met:</w:t>
      </w:r>
    </w:p>
    <w:p w14:paraId="6C2696A9" w14:textId="690C55A7" w:rsidR="008E3F6A" w:rsidRPr="000A684F" w:rsidRDefault="008E3F6A" w:rsidP="006477BB">
      <w:pPr>
        <w:pStyle w:val="ListParagraph"/>
        <w:numPr>
          <w:ilvl w:val="1"/>
          <w:numId w:val="35"/>
        </w:numPr>
      </w:pPr>
      <w:r w:rsidRPr="000A684F">
        <w:t>The requested drug is used as a single agent</w:t>
      </w:r>
    </w:p>
    <w:p w14:paraId="1F6EB1E8" w14:textId="78F9A805" w:rsidR="008E3F6A" w:rsidRPr="000A684F" w:rsidRDefault="008E3F6A" w:rsidP="006477BB">
      <w:pPr>
        <w:pStyle w:val="ListParagraph"/>
        <w:numPr>
          <w:ilvl w:val="1"/>
          <w:numId w:val="35"/>
        </w:numPr>
      </w:pPr>
      <w:r w:rsidRPr="000A684F">
        <w:t>The requested drug is used as palliative or subsequent therapy</w:t>
      </w:r>
    </w:p>
    <w:p w14:paraId="74ABC2F5" w14:textId="6764D2C1" w:rsidR="008E3F6A" w:rsidRPr="000A684F" w:rsidRDefault="008E3F6A" w:rsidP="006477BB">
      <w:pPr>
        <w:pStyle w:val="ListParagraph"/>
        <w:numPr>
          <w:ilvl w:val="0"/>
          <w:numId w:val="32"/>
        </w:numPr>
      </w:pPr>
      <w:r w:rsidRPr="000A684F">
        <w:t>Breast implant associated anaplastic large cell lymphoma (ALCL) when all of the following are met:</w:t>
      </w:r>
    </w:p>
    <w:p w14:paraId="7C631B40" w14:textId="50111DB7" w:rsidR="008E3F6A" w:rsidRPr="000A684F" w:rsidRDefault="008E3F6A" w:rsidP="006477BB">
      <w:pPr>
        <w:pStyle w:val="ListParagraph"/>
        <w:numPr>
          <w:ilvl w:val="1"/>
          <w:numId w:val="36"/>
        </w:numPr>
      </w:pPr>
      <w:r w:rsidRPr="000A684F">
        <w:t>The requested drug is used as a single agent</w:t>
      </w:r>
    </w:p>
    <w:p w14:paraId="011955F9" w14:textId="0B08F124" w:rsidR="008E3F6A" w:rsidRDefault="008E3F6A" w:rsidP="006477BB">
      <w:pPr>
        <w:pStyle w:val="ListParagraph"/>
        <w:numPr>
          <w:ilvl w:val="1"/>
          <w:numId w:val="36"/>
        </w:numPr>
      </w:pPr>
      <w:r w:rsidRPr="000A684F">
        <w:t>The requested drug is used as subsequent therapy</w:t>
      </w:r>
    </w:p>
    <w:p w14:paraId="2E7286E8" w14:textId="61250743" w:rsidR="007345CD" w:rsidRPr="000A684F" w:rsidRDefault="007345CD" w:rsidP="00AB0C78">
      <w:pPr>
        <w:pStyle w:val="ListParagraph"/>
        <w:numPr>
          <w:ilvl w:val="0"/>
          <w:numId w:val="32"/>
        </w:numPr>
      </w:pPr>
      <w:r>
        <w:t>T-cell prolymphocytic leukemia when used as a single agent for symptomatic disease</w:t>
      </w:r>
    </w:p>
    <w:p w14:paraId="637581E0" w14:textId="197699CC" w:rsidR="008E3F6A" w:rsidRPr="000A684F" w:rsidRDefault="008E3F6A" w:rsidP="00FE4EA5">
      <w:pPr>
        <w:pStyle w:val="Heading3"/>
      </w:pPr>
      <w:r w:rsidRPr="000A684F">
        <w:t xml:space="preserve">Chronic </w:t>
      </w:r>
      <w:r w:rsidR="00843F6E" w:rsidRPr="000A684F">
        <w:t xml:space="preserve">Lymphocytic Leukemia/Small Lymphocytic Leukemia </w:t>
      </w:r>
      <w:r w:rsidRPr="000A684F">
        <w:t>(CLL/SLL)</w:t>
      </w:r>
    </w:p>
    <w:p w14:paraId="7994A6A2" w14:textId="6061BDF5" w:rsidR="008E3F6A" w:rsidRPr="000A684F" w:rsidRDefault="008E3F6A" w:rsidP="004B7366">
      <w:pPr>
        <w:pStyle w:val="BodyText"/>
      </w:pPr>
      <w:r w:rsidRPr="000A684F">
        <w:t>Authorization of 12 months may be granted for treatment of CLL/SLL without chromosome 17p deletion or TP53 mutation</w:t>
      </w:r>
    </w:p>
    <w:p w14:paraId="56C99F9E" w14:textId="75F6D50A" w:rsidR="008E3F6A" w:rsidRPr="000A684F" w:rsidRDefault="008E3F6A" w:rsidP="00FE4EA5">
      <w:pPr>
        <w:pStyle w:val="Heading3"/>
      </w:pPr>
      <w:proofErr w:type="spellStart"/>
      <w:r w:rsidRPr="000A684F">
        <w:t>Waldenström’s</w:t>
      </w:r>
      <w:proofErr w:type="spellEnd"/>
      <w:r w:rsidRPr="000A684F">
        <w:t xml:space="preserve"> </w:t>
      </w:r>
      <w:r w:rsidR="004B7366" w:rsidRPr="000A684F">
        <w:t>Macroglobulinemia/Lymphoplasmacytic Lymphoma/</w:t>
      </w:r>
      <w:r w:rsidRPr="000A684F">
        <w:t>Bing</w:t>
      </w:r>
      <w:r w:rsidR="004B7366" w:rsidRPr="000A684F">
        <w:t>-</w:t>
      </w:r>
      <w:r w:rsidRPr="000A684F">
        <w:t xml:space="preserve">Neel </w:t>
      </w:r>
      <w:r w:rsidR="004B7366" w:rsidRPr="000A684F">
        <w:t>Syndrome</w:t>
      </w:r>
    </w:p>
    <w:p w14:paraId="0FFD5987" w14:textId="77777777" w:rsidR="008E3F6A" w:rsidRPr="000A684F" w:rsidRDefault="008E3F6A" w:rsidP="004B7366">
      <w:pPr>
        <w:pStyle w:val="BodyText"/>
      </w:pPr>
      <w:r w:rsidRPr="000A684F">
        <w:t>Authorization of 12 months may be granted for treatment of Waldenström’s macroglobulinemia/lymphoplasmacytic lymphoma or Bing-Neel syndrome when either of the following criteria are met:</w:t>
      </w:r>
    </w:p>
    <w:p w14:paraId="05603D74" w14:textId="45139DD4" w:rsidR="008E3F6A" w:rsidRPr="000A684F" w:rsidRDefault="008E3F6A" w:rsidP="006477BB">
      <w:pPr>
        <w:pStyle w:val="ListParagraph"/>
        <w:numPr>
          <w:ilvl w:val="0"/>
          <w:numId w:val="31"/>
        </w:numPr>
      </w:pPr>
      <w:r w:rsidRPr="000A684F">
        <w:t>The requested drug will be used in combination with rituximab, or</w:t>
      </w:r>
    </w:p>
    <w:p w14:paraId="58224176" w14:textId="7DF17956" w:rsidR="008E3F6A" w:rsidRPr="000A684F" w:rsidRDefault="008E3F6A" w:rsidP="006477BB">
      <w:pPr>
        <w:pStyle w:val="ListParagraph"/>
        <w:numPr>
          <w:ilvl w:val="0"/>
          <w:numId w:val="31"/>
        </w:numPr>
      </w:pPr>
      <w:r w:rsidRPr="000A684F">
        <w:t>The requested drug will be used as a single agent.</w:t>
      </w:r>
    </w:p>
    <w:p w14:paraId="7D4814C5" w14:textId="1957C7BD" w:rsidR="008E3F6A" w:rsidRPr="000A684F" w:rsidRDefault="008E3F6A" w:rsidP="00FE4EA5">
      <w:pPr>
        <w:pStyle w:val="Heading3"/>
      </w:pPr>
      <w:r w:rsidRPr="000A684F">
        <w:t xml:space="preserve">Multiple </w:t>
      </w:r>
      <w:r w:rsidR="004B7366" w:rsidRPr="000A684F">
        <w:t xml:space="preserve">Myeloma </w:t>
      </w:r>
      <w:r w:rsidRPr="000A684F">
        <w:t>(MM)</w:t>
      </w:r>
    </w:p>
    <w:p w14:paraId="5151CC64" w14:textId="77777777" w:rsidR="008E3F6A" w:rsidRPr="000A684F" w:rsidRDefault="008E3F6A" w:rsidP="004B7366">
      <w:pPr>
        <w:pStyle w:val="BodyText"/>
      </w:pPr>
      <w:r w:rsidRPr="000A684F">
        <w:t>Authorization of 12 months may be granted for treatment of MM when all of the following criteria are met:</w:t>
      </w:r>
    </w:p>
    <w:p w14:paraId="4A1AF7DD" w14:textId="5E240309" w:rsidR="008E3F6A" w:rsidRPr="000A684F" w:rsidRDefault="008E3F6A" w:rsidP="006477BB">
      <w:pPr>
        <w:pStyle w:val="ListParagraph"/>
        <w:numPr>
          <w:ilvl w:val="0"/>
          <w:numId w:val="29"/>
        </w:numPr>
      </w:pPr>
      <w:r w:rsidRPr="000A684F">
        <w:t>The disease is relapsed or refractory and the member has tried more than 3 prior therapies, and</w:t>
      </w:r>
    </w:p>
    <w:p w14:paraId="07A3A378" w14:textId="269547CA" w:rsidR="008E3F6A" w:rsidRPr="000A684F" w:rsidRDefault="008E3F6A" w:rsidP="006477BB">
      <w:pPr>
        <w:pStyle w:val="ListParagraph"/>
        <w:numPr>
          <w:ilvl w:val="0"/>
          <w:numId w:val="29"/>
        </w:numPr>
      </w:pPr>
      <w:r w:rsidRPr="000A684F">
        <w:t>The requested drug will be used in any of the following regimens:</w:t>
      </w:r>
    </w:p>
    <w:p w14:paraId="2BC2DF54" w14:textId="06A82229" w:rsidR="008E3F6A" w:rsidRPr="000A684F" w:rsidRDefault="008E3F6A" w:rsidP="006477BB">
      <w:pPr>
        <w:pStyle w:val="ListParagraph"/>
        <w:numPr>
          <w:ilvl w:val="1"/>
          <w:numId w:val="30"/>
        </w:numPr>
      </w:pPr>
      <w:r w:rsidRPr="000A684F">
        <w:t>In combination with lenalidomide and dexamethasone, or</w:t>
      </w:r>
    </w:p>
    <w:p w14:paraId="6DFE5DD9" w14:textId="3E4CC384" w:rsidR="008E3F6A" w:rsidRPr="000A684F" w:rsidRDefault="008E3F6A" w:rsidP="006477BB">
      <w:pPr>
        <w:pStyle w:val="ListParagraph"/>
        <w:numPr>
          <w:ilvl w:val="1"/>
          <w:numId w:val="30"/>
        </w:numPr>
      </w:pPr>
      <w:r w:rsidRPr="000A684F">
        <w:t>In combination with bortezomib and dexamethasone, or</w:t>
      </w:r>
    </w:p>
    <w:p w14:paraId="526340D9" w14:textId="17290F1D" w:rsidR="008E3F6A" w:rsidRPr="000A684F" w:rsidRDefault="008E3F6A" w:rsidP="006477BB">
      <w:pPr>
        <w:pStyle w:val="ListParagraph"/>
        <w:numPr>
          <w:ilvl w:val="1"/>
          <w:numId w:val="30"/>
        </w:numPr>
      </w:pPr>
      <w:r w:rsidRPr="000A684F">
        <w:t>In combination with carfilzomib and dexamethasone, or</w:t>
      </w:r>
    </w:p>
    <w:p w14:paraId="44BB97C7" w14:textId="51F72D6B" w:rsidR="008E3F6A" w:rsidRPr="000A684F" w:rsidRDefault="008E3F6A" w:rsidP="006477BB">
      <w:pPr>
        <w:pStyle w:val="ListParagraph"/>
        <w:numPr>
          <w:ilvl w:val="1"/>
          <w:numId w:val="30"/>
        </w:numPr>
      </w:pPr>
      <w:r w:rsidRPr="000A684F">
        <w:t>As a single agent.</w:t>
      </w:r>
    </w:p>
    <w:p w14:paraId="6E4F0FFA" w14:textId="57964EBD" w:rsidR="008E3F6A" w:rsidRPr="000A684F" w:rsidRDefault="008E3F6A" w:rsidP="00FE4EA5">
      <w:pPr>
        <w:pStyle w:val="Heading3"/>
      </w:pPr>
      <w:r w:rsidRPr="000A684F">
        <w:t xml:space="preserve">Classic Hodgkin </w:t>
      </w:r>
      <w:r w:rsidR="004B7366" w:rsidRPr="000A684F">
        <w:t>Lymphoma (</w:t>
      </w:r>
      <w:proofErr w:type="spellStart"/>
      <w:r w:rsidRPr="000A684F">
        <w:t>cHL</w:t>
      </w:r>
      <w:proofErr w:type="spellEnd"/>
      <w:r w:rsidRPr="000A684F">
        <w:t>)</w:t>
      </w:r>
    </w:p>
    <w:p w14:paraId="6A24E261" w14:textId="77777777" w:rsidR="008E3F6A" w:rsidRPr="000A684F" w:rsidRDefault="008E3F6A" w:rsidP="004B7366">
      <w:pPr>
        <w:pStyle w:val="BodyText"/>
      </w:pPr>
      <w:r w:rsidRPr="000A684F">
        <w:t xml:space="preserve">Authorization of 12 months may be granted for treatment of </w:t>
      </w:r>
      <w:proofErr w:type="spellStart"/>
      <w:r w:rsidRPr="000A684F">
        <w:t>cHL</w:t>
      </w:r>
      <w:proofErr w:type="spellEnd"/>
      <w:r w:rsidRPr="000A684F">
        <w:t xml:space="preserve"> when all of the following criteria are met:</w:t>
      </w:r>
    </w:p>
    <w:p w14:paraId="240D871F" w14:textId="65890D11" w:rsidR="008E3F6A" w:rsidRPr="000A684F" w:rsidRDefault="008E3F6A" w:rsidP="006477BB">
      <w:pPr>
        <w:pStyle w:val="ListParagraph"/>
        <w:numPr>
          <w:ilvl w:val="0"/>
          <w:numId w:val="27"/>
        </w:numPr>
      </w:pPr>
      <w:r w:rsidRPr="000A684F">
        <w:t>The requested drug will be used as subsequent therapy or palliative therapy, and</w:t>
      </w:r>
    </w:p>
    <w:p w14:paraId="3605689C" w14:textId="6677C9D0" w:rsidR="008E3F6A" w:rsidRPr="000A684F" w:rsidRDefault="008E3F6A" w:rsidP="006477BB">
      <w:pPr>
        <w:pStyle w:val="ListParagraph"/>
        <w:numPr>
          <w:ilvl w:val="0"/>
          <w:numId w:val="27"/>
        </w:numPr>
      </w:pPr>
      <w:r w:rsidRPr="000A684F">
        <w:t>The requested drug will be used in any of the following regimens:</w:t>
      </w:r>
    </w:p>
    <w:p w14:paraId="088AF2EE" w14:textId="4C203465" w:rsidR="008E3F6A" w:rsidRPr="000A684F" w:rsidRDefault="008E3F6A" w:rsidP="006477BB">
      <w:pPr>
        <w:pStyle w:val="ListParagraph"/>
        <w:numPr>
          <w:ilvl w:val="1"/>
          <w:numId w:val="28"/>
        </w:numPr>
      </w:pPr>
      <w:r w:rsidRPr="000A684F">
        <w:t>In combination with brentuximab vedotin, or</w:t>
      </w:r>
    </w:p>
    <w:p w14:paraId="55964829" w14:textId="79DFFA41" w:rsidR="008E3F6A" w:rsidRPr="000A684F" w:rsidRDefault="008E3F6A" w:rsidP="006477BB">
      <w:pPr>
        <w:pStyle w:val="ListParagraph"/>
        <w:numPr>
          <w:ilvl w:val="1"/>
          <w:numId w:val="28"/>
        </w:numPr>
      </w:pPr>
      <w:r w:rsidRPr="000A684F">
        <w:t>In combination with gemcitabine and vinorelbine, or</w:t>
      </w:r>
    </w:p>
    <w:p w14:paraId="015B337A" w14:textId="00F17928" w:rsidR="008E3F6A" w:rsidRPr="000A684F" w:rsidRDefault="008E3F6A" w:rsidP="006477BB">
      <w:pPr>
        <w:pStyle w:val="ListParagraph"/>
        <w:numPr>
          <w:ilvl w:val="1"/>
          <w:numId w:val="28"/>
        </w:numPr>
      </w:pPr>
      <w:r w:rsidRPr="000A684F">
        <w:t>In combination with carboplatin and etoposide, or</w:t>
      </w:r>
    </w:p>
    <w:p w14:paraId="22D275FC" w14:textId="0084EC6F" w:rsidR="008E3F6A" w:rsidRPr="000A684F" w:rsidRDefault="008E3F6A" w:rsidP="006477BB">
      <w:pPr>
        <w:pStyle w:val="ListParagraph"/>
        <w:numPr>
          <w:ilvl w:val="1"/>
          <w:numId w:val="28"/>
        </w:numPr>
      </w:pPr>
      <w:r w:rsidRPr="000A684F">
        <w:t>As a single agent.</w:t>
      </w:r>
    </w:p>
    <w:p w14:paraId="00D92B3F" w14:textId="3C578187" w:rsidR="008E3F6A" w:rsidRPr="000A684F" w:rsidRDefault="008E3F6A" w:rsidP="00FE4EA5">
      <w:pPr>
        <w:pStyle w:val="Heading3"/>
      </w:pPr>
      <w:r w:rsidRPr="000A684F">
        <w:t xml:space="preserve">Nodular </w:t>
      </w:r>
      <w:r w:rsidR="004B7366" w:rsidRPr="000A684F">
        <w:t xml:space="preserve">Lymphocyte Predominant </w:t>
      </w:r>
      <w:r w:rsidRPr="000A684F">
        <w:t xml:space="preserve">Hodgkin </w:t>
      </w:r>
      <w:r w:rsidR="004B7366" w:rsidRPr="000A684F">
        <w:t xml:space="preserve">Lymphoma </w:t>
      </w:r>
      <w:r w:rsidRPr="000A684F">
        <w:t>(NLPHL)</w:t>
      </w:r>
    </w:p>
    <w:p w14:paraId="265CD319" w14:textId="77777777" w:rsidR="008E3F6A" w:rsidRPr="000A684F" w:rsidRDefault="008E3F6A" w:rsidP="004B7366">
      <w:pPr>
        <w:pStyle w:val="BodyText"/>
      </w:pPr>
      <w:r w:rsidRPr="000A684F">
        <w:t>Authorization of 12 months may be granted for treatment of nodular lymphocyte predominant Hodgkin lymphoma when all of the following criteria are met:</w:t>
      </w:r>
    </w:p>
    <w:p w14:paraId="521B3D4D" w14:textId="63D9BB08" w:rsidR="008E3F6A" w:rsidRPr="000A684F" w:rsidRDefault="008E3F6A" w:rsidP="006477BB">
      <w:pPr>
        <w:pStyle w:val="ListParagraph"/>
        <w:numPr>
          <w:ilvl w:val="0"/>
          <w:numId w:val="26"/>
        </w:numPr>
      </w:pPr>
      <w:r w:rsidRPr="000A684F">
        <w:t>The requested drug will be used as subsequent therapy</w:t>
      </w:r>
    </w:p>
    <w:p w14:paraId="7A0B826E" w14:textId="04749472" w:rsidR="008E3F6A" w:rsidRPr="000A684F" w:rsidRDefault="008E3F6A" w:rsidP="006477BB">
      <w:pPr>
        <w:pStyle w:val="ListParagraph"/>
        <w:numPr>
          <w:ilvl w:val="0"/>
          <w:numId w:val="26"/>
        </w:numPr>
      </w:pPr>
      <w:r w:rsidRPr="000A684F">
        <w:t>The requested drug will be used in combination with rituximab</w:t>
      </w:r>
    </w:p>
    <w:p w14:paraId="25F4D26B" w14:textId="0410DBDB" w:rsidR="008E3F6A" w:rsidRPr="000A684F" w:rsidRDefault="008E3F6A" w:rsidP="00FE4EA5">
      <w:pPr>
        <w:pStyle w:val="Heading3"/>
      </w:pPr>
      <w:r w:rsidRPr="000A684F">
        <w:t xml:space="preserve">Systemic </w:t>
      </w:r>
      <w:r w:rsidR="004B7366" w:rsidRPr="000A684F">
        <w:t>Light Chain Amyloidosis</w:t>
      </w:r>
    </w:p>
    <w:p w14:paraId="3C390C44" w14:textId="77777777" w:rsidR="008E3F6A" w:rsidRPr="000A684F" w:rsidRDefault="008E3F6A" w:rsidP="004B7366">
      <w:pPr>
        <w:pStyle w:val="BodyText"/>
      </w:pPr>
      <w:r w:rsidRPr="000A684F">
        <w:t>Authorization of 12 months may be granted for treatment of systemic light chain amyloidosis when all of the following criteria are met:</w:t>
      </w:r>
    </w:p>
    <w:p w14:paraId="73986BC9" w14:textId="4506A051" w:rsidR="008E3F6A" w:rsidRPr="000A684F" w:rsidRDefault="008E3F6A" w:rsidP="006477BB">
      <w:pPr>
        <w:pStyle w:val="ListParagraph"/>
        <w:numPr>
          <w:ilvl w:val="0"/>
          <w:numId w:val="45"/>
        </w:numPr>
      </w:pPr>
      <w:r w:rsidRPr="000A684F">
        <w:t>The requested drug will be used in combination with dexamethasone</w:t>
      </w:r>
    </w:p>
    <w:p w14:paraId="396BEB1E" w14:textId="0A05F030" w:rsidR="008E3F6A" w:rsidRPr="000A684F" w:rsidRDefault="008E3F6A" w:rsidP="006477BB">
      <w:pPr>
        <w:pStyle w:val="ListParagraph"/>
        <w:numPr>
          <w:ilvl w:val="0"/>
          <w:numId w:val="45"/>
        </w:numPr>
      </w:pPr>
      <w:r w:rsidRPr="000A684F">
        <w:t>The requested drug will be used to treat relapsed or refractory disease</w:t>
      </w:r>
    </w:p>
    <w:p w14:paraId="17B2C283" w14:textId="15CF22CC" w:rsidR="008E3F6A" w:rsidRPr="000A684F" w:rsidRDefault="008E3F6A" w:rsidP="00FE4EA5">
      <w:pPr>
        <w:pStyle w:val="Heading3"/>
      </w:pPr>
      <w:r w:rsidRPr="000A684F">
        <w:t xml:space="preserve">Hematopoietic </w:t>
      </w:r>
      <w:r w:rsidR="004B7366" w:rsidRPr="000A684F">
        <w:t>Cell Transplantation</w:t>
      </w:r>
    </w:p>
    <w:p w14:paraId="3FDCD728" w14:textId="77777777" w:rsidR="008E3F6A" w:rsidRPr="000A684F" w:rsidRDefault="008E3F6A" w:rsidP="004B7366">
      <w:pPr>
        <w:pStyle w:val="BodyText"/>
      </w:pPr>
      <w:r w:rsidRPr="000A684F">
        <w:t>Authorization of 12 months may be granted for use in hematopoietic cell transplantation when all of the following criteria are met:</w:t>
      </w:r>
    </w:p>
    <w:p w14:paraId="163702E2" w14:textId="2B427C14" w:rsidR="008E3F6A" w:rsidRPr="000A684F" w:rsidRDefault="008E3F6A" w:rsidP="006477BB">
      <w:pPr>
        <w:pStyle w:val="ListParagraph"/>
        <w:numPr>
          <w:ilvl w:val="0"/>
          <w:numId w:val="46"/>
        </w:numPr>
      </w:pPr>
      <w:r w:rsidRPr="000A684F">
        <w:t>The requested drug will be used as conditioning for autologous transplant</w:t>
      </w:r>
    </w:p>
    <w:p w14:paraId="57765A69" w14:textId="7990D378" w:rsidR="008E3F6A" w:rsidRPr="000A684F" w:rsidRDefault="008E3F6A" w:rsidP="006477BB">
      <w:pPr>
        <w:pStyle w:val="ListParagraph"/>
        <w:numPr>
          <w:ilvl w:val="0"/>
          <w:numId w:val="46"/>
        </w:numPr>
      </w:pPr>
      <w:r w:rsidRPr="000A684F">
        <w:t>The requested drug will be used in combination with etoposide, cytarabine and melphalan</w:t>
      </w:r>
    </w:p>
    <w:p w14:paraId="69640E6D" w14:textId="4676B577" w:rsidR="008E3F6A" w:rsidRPr="000A684F" w:rsidRDefault="008E3F6A" w:rsidP="00FE4EA5">
      <w:pPr>
        <w:pStyle w:val="Heading3"/>
      </w:pPr>
      <w:r w:rsidRPr="000A684F">
        <w:t xml:space="preserve">Cold </w:t>
      </w:r>
      <w:r w:rsidR="004B7366" w:rsidRPr="000A684F">
        <w:t>Agglutinin Disease</w:t>
      </w:r>
    </w:p>
    <w:p w14:paraId="3E8A5DB7" w14:textId="77777777" w:rsidR="008E3F6A" w:rsidRPr="000A684F" w:rsidRDefault="008E3F6A" w:rsidP="004B7366">
      <w:pPr>
        <w:pStyle w:val="BodyText"/>
      </w:pPr>
      <w:r w:rsidRPr="000A684F">
        <w:t>Authorization of 12 months may be granted for treatment of cold agglutinin disease when used in combination with rituximab.</w:t>
      </w:r>
    </w:p>
    <w:p w14:paraId="1556C664" w14:textId="531C6966" w:rsidR="008E3F6A" w:rsidRPr="000A684F" w:rsidRDefault="008E3F6A" w:rsidP="00FE4EA5">
      <w:pPr>
        <w:pStyle w:val="Heading3"/>
      </w:pPr>
      <w:r w:rsidRPr="000A684F">
        <w:t xml:space="preserve">Mycosis </w:t>
      </w:r>
      <w:r w:rsidR="004B7366" w:rsidRPr="000A684F">
        <w:t>Fungoides/</w:t>
      </w:r>
      <w:r w:rsidRPr="000A684F">
        <w:t xml:space="preserve">Sezary </w:t>
      </w:r>
      <w:r w:rsidR="004B7366" w:rsidRPr="000A684F">
        <w:t>Syndrome</w:t>
      </w:r>
    </w:p>
    <w:p w14:paraId="0232FFC0" w14:textId="336B1B8F" w:rsidR="008E3F6A" w:rsidRPr="000A684F" w:rsidRDefault="008E3F6A" w:rsidP="004B7366">
      <w:pPr>
        <w:pStyle w:val="BodyText"/>
      </w:pPr>
      <w:r w:rsidRPr="000A684F">
        <w:t>Authorization of 12 months may be granted for treatment of mycosis fungoides/Sezary syndrome when used in combination with brentuximab vedotin.</w:t>
      </w:r>
    </w:p>
    <w:p w14:paraId="3A643EC3" w14:textId="74FC1533" w:rsidR="00A501AC" w:rsidRPr="000A684F" w:rsidRDefault="00A501AC" w:rsidP="00A501AC">
      <w:pPr>
        <w:pStyle w:val="Heading2"/>
      </w:pPr>
      <w:r w:rsidRPr="000A684F">
        <w:t>Continuation of Therapy</w:t>
      </w:r>
    </w:p>
    <w:p w14:paraId="5BEA4482" w14:textId="7E809CF4" w:rsidR="006C11C3" w:rsidRPr="000A684F" w:rsidRDefault="006C11C3" w:rsidP="004B7366">
      <w:pPr>
        <w:pStyle w:val="BodyText"/>
      </w:pPr>
      <w:r w:rsidRPr="000A684F">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FE4ACDD" w:rsidR="00FF66BF" w:rsidRPr="000A684F" w:rsidRDefault="00FF66BF" w:rsidP="00FF66BF">
      <w:pPr>
        <w:pStyle w:val="Heading2"/>
      </w:pPr>
      <w:r w:rsidRPr="000A684F">
        <w:t>References</w:t>
      </w:r>
    </w:p>
    <w:p w14:paraId="7CF92A4F" w14:textId="223F7621" w:rsidR="006C11C3" w:rsidRPr="000A684F" w:rsidRDefault="006C11C3" w:rsidP="004B7366">
      <w:pPr>
        <w:pStyle w:val="ReferenceOrdered"/>
      </w:pPr>
      <w:r w:rsidRPr="000A684F">
        <w:t>Treanda [package insert]. Parsippany, NJ: Teva Pharmaceuticals USA, Inc.; October 2022.</w:t>
      </w:r>
    </w:p>
    <w:p w14:paraId="7DD922F0" w14:textId="77A39093" w:rsidR="006C11C3" w:rsidRPr="000A684F" w:rsidRDefault="006C11C3" w:rsidP="004B7366">
      <w:pPr>
        <w:pStyle w:val="ReferenceOrdered"/>
      </w:pPr>
      <w:r w:rsidRPr="000A684F">
        <w:t>Bendeka [package insert]. Parsippany, NJ: Teva Pharmaceuticals USA, Inc.; January 2024.</w:t>
      </w:r>
    </w:p>
    <w:p w14:paraId="0E1E5657" w14:textId="58EE4745" w:rsidR="006C11C3" w:rsidRPr="000A684F" w:rsidRDefault="006C11C3" w:rsidP="004B7366">
      <w:pPr>
        <w:pStyle w:val="ReferenceOrdered"/>
      </w:pPr>
      <w:r w:rsidRPr="000A684F">
        <w:t>Belrapzo [package insert]. Woodcliff Lake, NJ; Eagle Pharmaceuticals, Inc; January 2024.</w:t>
      </w:r>
    </w:p>
    <w:p w14:paraId="3CE2F28A" w14:textId="71F0954E" w:rsidR="006C11C3" w:rsidRPr="000A684F" w:rsidRDefault="006C11C3" w:rsidP="004B7366">
      <w:pPr>
        <w:pStyle w:val="ReferenceOrdered"/>
      </w:pPr>
      <w:proofErr w:type="spellStart"/>
      <w:r w:rsidRPr="000A684F">
        <w:t>Vivimusta</w:t>
      </w:r>
      <w:proofErr w:type="spellEnd"/>
      <w:r w:rsidRPr="000A684F">
        <w:t xml:space="preserve"> [package insert]. Princeton, NJ; Slayback Pharma LLC; December 2022.</w:t>
      </w:r>
    </w:p>
    <w:p w14:paraId="697F750B" w14:textId="6E4D3587" w:rsidR="006C11C3" w:rsidRPr="000A684F" w:rsidRDefault="006C11C3" w:rsidP="004B7366">
      <w:pPr>
        <w:pStyle w:val="ReferenceOrdered"/>
      </w:pPr>
      <w:r w:rsidRPr="000A684F">
        <w:t>Bendamustine [package insert]. Durham, NC; Accord Healthcare Inc; November 2022.</w:t>
      </w:r>
    </w:p>
    <w:p w14:paraId="59BA09D3" w14:textId="4747BB09" w:rsidR="006C11C3" w:rsidRPr="000A684F" w:rsidRDefault="006C11C3" w:rsidP="004B7366">
      <w:pPr>
        <w:pStyle w:val="ReferenceOrdered"/>
      </w:pPr>
      <w:r w:rsidRPr="000A684F">
        <w:t>The NCCN Drugs &amp; Biologics Compendium® © 202</w:t>
      </w:r>
      <w:r w:rsidR="007345CD">
        <w:t>5</w:t>
      </w:r>
      <w:r w:rsidRPr="000A684F">
        <w:t xml:space="preserve"> National Comprehensive Cancer Network, Inc. https://www.nccn.org. Accessed </w:t>
      </w:r>
      <w:r w:rsidR="007345CD">
        <w:t>February</w:t>
      </w:r>
      <w:r w:rsidRPr="000A684F">
        <w:t xml:space="preserve"> </w:t>
      </w:r>
      <w:r w:rsidR="007345CD">
        <w:t>3</w:t>
      </w:r>
      <w:r w:rsidRPr="000A684F">
        <w:t>, 202</w:t>
      </w:r>
      <w:r w:rsidR="007345CD">
        <w:t>5</w:t>
      </w:r>
      <w:r w:rsidRPr="000A684F">
        <w:t>.</w:t>
      </w:r>
    </w:p>
    <w:p w14:paraId="0D9BD14C" w14:textId="77777777" w:rsidR="006C11C3" w:rsidRDefault="006C11C3" w:rsidP="004B7366">
      <w:pPr>
        <w:pStyle w:val="ReferenceOrdered"/>
      </w:pPr>
      <w:r w:rsidRPr="000A684F">
        <w:t>IBM Micromedex® DRUGDEX® (electronic version). IBM Watson Health, Greenwood Village, Colorado, USA. Available at https://www.micromedexsolutions.com Accessed April 8, 2024.</w:t>
      </w:r>
    </w:p>
    <w:p w14:paraId="396C0CCC" w14:textId="2745143D" w:rsidR="00D931BC" w:rsidRPr="000A684F" w:rsidRDefault="00D931BC" w:rsidP="004B7366">
      <w:pPr>
        <w:pStyle w:val="ReferenceOrdered"/>
      </w:pPr>
      <w:proofErr w:type="spellStart"/>
      <w:r>
        <w:t>Calquence</w:t>
      </w:r>
      <w:proofErr w:type="spellEnd"/>
      <w:r>
        <w:t xml:space="preserve"> [package insert]. Wilmington, DE: AstraZeneca Pharmaceuticals LP; January 2025.</w:t>
      </w:r>
    </w:p>
    <w:sectPr w:rsidR="00D931BC" w:rsidRPr="000A684F" w:rsidSect="002933C7">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6D7D3" w14:textId="77777777" w:rsidR="0003524C" w:rsidRDefault="0003524C">
      <w:r>
        <w:separator/>
      </w:r>
    </w:p>
  </w:endnote>
  <w:endnote w:type="continuationSeparator" w:id="0">
    <w:p w14:paraId="5A2A04EC" w14:textId="77777777" w:rsidR="0003524C" w:rsidRDefault="0003524C">
      <w:r>
        <w:continuationSeparator/>
      </w:r>
    </w:p>
  </w:endnote>
  <w:endnote w:type="continuationNotice" w:id="1">
    <w:p w14:paraId="743444DC" w14:textId="77777777" w:rsidR="0003524C" w:rsidRDefault="00035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765695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06D5B" w:rsidRPr="00706D5B">
      <w:rPr>
        <w:rFonts w:cs="Arial"/>
        <w:noProof/>
        <w:sz w:val="16"/>
        <w:szCs w:val="16"/>
      </w:rPr>
      <w:t>bendamustine-Treanda-Bendeka-Belrapzo-Vivimusta</w:t>
    </w:r>
    <w:r w:rsidR="00706D5B">
      <w:rPr>
        <w:rFonts w:cs="Arial"/>
        <w:noProof/>
        <w:snapToGrid w:val="0"/>
        <w:color w:val="000000"/>
        <w:sz w:val="16"/>
        <w:szCs w:val="16"/>
      </w:rPr>
      <w:t xml:space="preserve"> SGM 1705-A</w:t>
    </w:r>
    <w:r w:rsidR="00706D5B" w:rsidRPr="00706D5B">
      <w:rPr>
        <w:rFonts w:cs="Arial"/>
        <w:noProof/>
        <w:sz w:val="16"/>
        <w:szCs w:val="16"/>
      </w:rPr>
      <w:t xml:space="preserve"> </w:t>
    </w:r>
    <w:r w:rsidR="00F743AB">
      <w:rPr>
        <w:rFonts w:cs="Arial"/>
        <w:noProof/>
        <w:sz w:val="16"/>
        <w:szCs w:val="16"/>
      </w:rPr>
      <w:t>P</w:t>
    </w:r>
    <w:r w:rsidR="00706D5B" w:rsidRPr="00706D5B">
      <w:rPr>
        <w:rFonts w:cs="Arial"/>
        <w:noProof/>
        <w:sz w:val="16"/>
        <w:szCs w:val="16"/>
      </w:rPr>
      <w:t>2024</w:t>
    </w:r>
    <w:r w:rsidR="00724F7F">
      <w:rPr>
        <w:rFonts w:cs="Arial"/>
        <w:noProof/>
        <w:sz w:val="16"/>
        <w:szCs w:val="16"/>
      </w:rPr>
      <w:t>a</w:t>
    </w:r>
    <w:r w:rsidR="00706D5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724F7F">
      <w:rPr>
        <w:rFonts w:cs="Arial"/>
        <w:snapToGrid w:val="0"/>
        <w:color w:val="000000"/>
        <w:sz w:val="16"/>
      </w:rPr>
      <w:t>5</w:t>
    </w:r>
    <w:r w:rsidRPr="00EC47B6">
      <w:rPr>
        <w:rFonts w:cs="Arial"/>
        <w:snapToGrid w:val="0"/>
        <w:color w:val="000000"/>
        <w:sz w:val="16"/>
      </w:rPr>
      <w:t xml:space="preserve"> CVS Caremark. All rights reserved.</w:t>
    </w:r>
  </w:p>
  <w:p w14:paraId="61CF5924" w14:textId="2B5A18D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007EE9E" w:rsidR="00F75C81" w:rsidRPr="00706D5B" w:rsidRDefault="00C36B72" w:rsidP="00706D5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6173EC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E2649">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1A4CA4" w:rsidRPr="007E2649">
      <w:rPr>
        <w:rFonts w:cs="Arial"/>
        <w:noProof/>
        <w:sz w:val="16"/>
        <w:szCs w:val="16"/>
        <w:lang w:val="it-IT"/>
      </w:rPr>
      <w:t>bendamustine-Treanda-Bendeka-Belrapzo-Vivimusta</w:t>
    </w:r>
    <w:r w:rsidR="001A4CA4" w:rsidRPr="007E2649">
      <w:rPr>
        <w:rFonts w:cs="Arial"/>
        <w:noProof/>
        <w:snapToGrid w:val="0"/>
        <w:color w:val="000000"/>
        <w:sz w:val="16"/>
        <w:szCs w:val="16"/>
        <w:lang w:val="it-IT"/>
      </w:rPr>
      <w:t xml:space="preserve"> SGM</w:t>
    </w:r>
    <w:r w:rsidR="001A4CA4" w:rsidRPr="007E2649">
      <w:rPr>
        <w:rFonts w:cs="Arial"/>
        <w:noProof/>
        <w:sz w:val="16"/>
        <w:szCs w:val="16"/>
        <w:lang w:val="it-IT"/>
      </w:rPr>
      <w:t xml:space="preserve"> </w:t>
    </w:r>
    <w:r w:rsidR="00A256FB" w:rsidRPr="007E2649">
      <w:rPr>
        <w:rFonts w:cs="Arial"/>
        <w:noProof/>
        <w:snapToGrid w:val="0"/>
        <w:color w:val="000000"/>
        <w:sz w:val="16"/>
        <w:szCs w:val="16"/>
        <w:lang w:val="it-IT"/>
      </w:rPr>
      <w:t xml:space="preserve">1705-A </w:t>
    </w:r>
    <w:r w:rsidR="00F743AB">
      <w:rPr>
        <w:rFonts w:cs="Arial"/>
        <w:noProof/>
        <w:snapToGrid w:val="0"/>
        <w:color w:val="000000"/>
        <w:sz w:val="16"/>
        <w:szCs w:val="16"/>
        <w:lang w:val="it-IT"/>
      </w:rPr>
      <w:t>P</w:t>
    </w:r>
    <w:r w:rsidR="001A4CA4" w:rsidRPr="007E2649">
      <w:rPr>
        <w:rFonts w:cs="Arial"/>
        <w:noProof/>
        <w:sz w:val="16"/>
        <w:szCs w:val="16"/>
        <w:lang w:val="it-IT"/>
      </w:rPr>
      <w:t>2024</w:t>
    </w:r>
    <w:r w:rsidR="00724F7F">
      <w:rPr>
        <w:rFonts w:cs="Arial"/>
        <w:noProof/>
        <w:sz w:val="16"/>
        <w:szCs w:val="16"/>
        <w:lang w:val="it-IT"/>
      </w:rPr>
      <w:t>a</w:t>
    </w:r>
    <w:r w:rsidR="00A256FB">
      <w:rPr>
        <w:rFonts w:cs="Arial"/>
        <w:noProof/>
        <w:sz w:val="16"/>
        <w:szCs w:val="16"/>
        <w:lang w:val="it-IT"/>
      </w:rPr>
      <w:t>_R</w:t>
    </w:r>
    <w:r w:rsidR="001A4CA4" w:rsidRPr="007E2649">
      <w:rPr>
        <w:rFonts w:cs="Arial"/>
        <w:noProof/>
        <w:sz w:val="16"/>
        <w:szCs w:val="16"/>
        <w:lang w:val="it-IT"/>
      </w:rPr>
      <w:t>.docx</w:t>
    </w:r>
    <w:r w:rsidRPr="00EC47B6">
      <w:rPr>
        <w:rFonts w:cs="Arial"/>
        <w:noProof/>
        <w:sz w:val="16"/>
        <w:szCs w:val="16"/>
      </w:rPr>
      <w:fldChar w:fldCharType="end"/>
    </w:r>
    <w:r w:rsidRPr="007E2649">
      <w:rPr>
        <w:rFonts w:cs="Arial"/>
        <w:snapToGrid w:val="0"/>
        <w:color w:val="000000"/>
        <w:sz w:val="16"/>
        <w:lang w:val="it-IT"/>
      </w:rPr>
      <w:tab/>
      <w:t>© 202</w:t>
    </w:r>
    <w:r w:rsidR="00724F7F">
      <w:rPr>
        <w:rFonts w:cs="Arial"/>
        <w:snapToGrid w:val="0"/>
        <w:color w:val="000000"/>
        <w:sz w:val="16"/>
        <w:lang w:val="it-IT"/>
      </w:rPr>
      <w:t>5</w:t>
    </w:r>
    <w:r w:rsidRPr="007E2649">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0A5F96C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25C5EF5" w:rsidR="00ED04EC" w:rsidRPr="00F50D98" w:rsidRDefault="00F50D98" w:rsidP="00AE4B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62C86" w14:textId="08668B37" w:rsidR="006C11C3" w:rsidRPr="00F50D98" w:rsidRDefault="006C11C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D9FBE" w14:textId="77777777" w:rsidR="0003524C" w:rsidRDefault="0003524C">
      <w:r>
        <w:separator/>
      </w:r>
    </w:p>
  </w:footnote>
  <w:footnote w:type="continuationSeparator" w:id="0">
    <w:p w14:paraId="59EF4245" w14:textId="77777777" w:rsidR="0003524C" w:rsidRDefault="0003524C">
      <w:r>
        <w:continuationSeparator/>
      </w:r>
    </w:p>
  </w:footnote>
  <w:footnote w:type="continuationNotice" w:id="1">
    <w:p w14:paraId="63846A1D" w14:textId="77777777" w:rsidR="0003524C" w:rsidRDefault="000352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A4CA4" w:rsidRDefault="00ED04EC" w:rsidP="00ED04EC">
          <w:pPr>
            <w:pStyle w:val="Header"/>
            <w:rPr>
              <w:rFonts w:cs="Arial"/>
              <w:sz w:val="16"/>
              <w:szCs w:val="16"/>
            </w:rPr>
          </w:pPr>
          <w:r w:rsidRPr="001A4CA4">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733860B" w:rsidR="00ED04EC" w:rsidRPr="001A4CA4" w:rsidRDefault="006C11C3" w:rsidP="00ED04EC">
          <w:pPr>
            <w:pStyle w:val="Header"/>
            <w:rPr>
              <w:rFonts w:cs="Arial"/>
              <w:sz w:val="16"/>
              <w:szCs w:val="16"/>
            </w:rPr>
          </w:pPr>
          <w:r w:rsidRPr="001A4CA4">
            <w:rPr>
              <w:rFonts w:cs="Arial"/>
              <w:sz w:val="16"/>
              <w:szCs w:val="16"/>
            </w:rPr>
            <w:t>1705-A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C11C3" w:rsidRPr="00AA1E6A" w14:paraId="5657BC1A" w14:textId="77777777" w:rsidTr="00222909">
      <w:trPr>
        <w:trHeight w:val="144"/>
        <w:jc w:val="right"/>
      </w:trPr>
      <w:tc>
        <w:tcPr>
          <w:tcW w:w="1854" w:type="dxa"/>
          <w:hideMark/>
        </w:tcPr>
        <w:p w14:paraId="4C96F592" w14:textId="77777777" w:rsidR="006C11C3" w:rsidRPr="00AA1E6A" w:rsidRDefault="006C11C3" w:rsidP="006C11C3">
          <w:pPr>
            <w:pStyle w:val="Header"/>
            <w:rPr>
              <w:rFonts w:ascii="Arial" w:hAnsi="Arial" w:cs="Arial"/>
              <w:sz w:val="16"/>
              <w:szCs w:val="16"/>
            </w:rPr>
          </w:pPr>
          <w:r w:rsidRPr="00AA1E6A">
            <w:rPr>
              <w:rFonts w:ascii="Arial" w:hAnsi="Arial" w:cs="Arial"/>
              <w:sz w:val="16"/>
              <w:szCs w:val="16"/>
            </w:rPr>
            <w:t>Reference number(s)</w:t>
          </w:r>
        </w:p>
      </w:tc>
    </w:tr>
    <w:tr w:rsidR="006C11C3" w:rsidRPr="004C7F1D" w14:paraId="431E6B35" w14:textId="77777777" w:rsidTr="00222909">
      <w:trPr>
        <w:trHeight w:val="378"/>
        <w:jc w:val="right"/>
      </w:trPr>
      <w:tc>
        <w:tcPr>
          <w:tcW w:w="1854" w:type="dxa"/>
          <w:hideMark/>
        </w:tcPr>
        <w:p w14:paraId="7ED81805" w14:textId="77777777" w:rsidR="006C11C3" w:rsidRPr="004C7F1D" w:rsidRDefault="006C11C3" w:rsidP="006C11C3">
          <w:pPr>
            <w:pStyle w:val="Header"/>
            <w:rPr>
              <w:rFonts w:ascii="Arial" w:hAnsi="Arial" w:cs="Arial"/>
              <w:sz w:val="16"/>
              <w:szCs w:val="16"/>
            </w:rPr>
          </w:pPr>
          <w:r w:rsidRPr="006C11C3">
            <w:rPr>
              <w:rFonts w:ascii="Arial" w:hAnsi="Arial" w:cs="Arial"/>
              <w:sz w:val="16"/>
              <w:szCs w:val="16"/>
            </w:rPr>
            <w:t>1705-A</w:t>
          </w:r>
        </w:p>
      </w:tc>
    </w:tr>
  </w:tbl>
  <w:p w14:paraId="05D16186" w14:textId="77777777" w:rsidR="006C11C3" w:rsidRPr="006C11C3" w:rsidRDefault="006C11C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92461"/>
    <w:multiLevelType w:val="hybridMultilevel"/>
    <w:tmpl w:val="74D466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D77E3F"/>
    <w:multiLevelType w:val="hybridMultilevel"/>
    <w:tmpl w:val="599E67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326564"/>
    <w:multiLevelType w:val="hybridMultilevel"/>
    <w:tmpl w:val="7D70CD2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41175A"/>
    <w:multiLevelType w:val="hybridMultilevel"/>
    <w:tmpl w:val="3D042E4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64B7E7F"/>
    <w:multiLevelType w:val="hybridMultilevel"/>
    <w:tmpl w:val="4B1CD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361F4C"/>
    <w:multiLevelType w:val="hybridMultilevel"/>
    <w:tmpl w:val="D74E8E9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EDF7E89"/>
    <w:multiLevelType w:val="hybridMultilevel"/>
    <w:tmpl w:val="E0CA402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5A35FC"/>
    <w:multiLevelType w:val="hybridMultilevel"/>
    <w:tmpl w:val="A530A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A6610"/>
    <w:multiLevelType w:val="hybridMultilevel"/>
    <w:tmpl w:val="AE14E97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99C7D55"/>
    <w:multiLevelType w:val="hybridMultilevel"/>
    <w:tmpl w:val="D722D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DE30AC"/>
    <w:multiLevelType w:val="hybridMultilevel"/>
    <w:tmpl w:val="4A84F96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C201605"/>
    <w:multiLevelType w:val="hybridMultilevel"/>
    <w:tmpl w:val="F9F6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172C49"/>
    <w:multiLevelType w:val="hybridMultilevel"/>
    <w:tmpl w:val="7E0E557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7C874D3"/>
    <w:multiLevelType w:val="hybridMultilevel"/>
    <w:tmpl w:val="B1F4904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CB624BE"/>
    <w:multiLevelType w:val="hybridMultilevel"/>
    <w:tmpl w:val="DDD0EE9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DC25B2"/>
    <w:multiLevelType w:val="hybridMultilevel"/>
    <w:tmpl w:val="A24A8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5524E4"/>
    <w:multiLevelType w:val="hybridMultilevel"/>
    <w:tmpl w:val="8F203A4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38554DC"/>
    <w:multiLevelType w:val="hybridMultilevel"/>
    <w:tmpl w:val="A120C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F61857"/>
    <w:multiLevelType w:val="hybridMultilevel"/>
    <w:tmpl w:val="43D018C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7617BB2"/>
    <w:multiLevelType w:val="hybridMultilevel"/>
    <w:tmpl w:val="6F66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1A1A0D"/>
    <w:multiLevelType w:val="hybridMultilevel"/>
    <w:tmpl w:val="462EA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282999"/>
    <w:multiLevelType w:val="hybridMultilevel"/>
    <w:tmpl w:val="E174B04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F51EED"/>
    <w:multiLevelType w:val="hybridMultilevel"/>
    <w:tmpl w:val="FFA88C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0456D6"/>
    <w:multiLevelType w:val="hybridMultilevel"/>
    <w:tmpl w:val="460EF82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2463AA3"/>
    <w:multiLevelType w:val="hybridMultilevel"/>
    <w:tmpl w:val="3C9A289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C25781"/>
    <w:multiLevelType w:val="hybridMultilevel"/>
    <w:tmpl w:val="4B904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DE407B"/>
    <w:multiLevelType w:val="hybridMultilevel"/>
    <w:tmpl w:val="4DCCFCE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40"/>
  </w:num>
  <w:num w:numId="3" w16cid:durableId="611589570">
    <w:abstractNumId w:val="3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7"/>
  </w:num>
  <w:num w:numId="17" w16cid:durableId="2128498676">
    <w:abstractNumId w:val="45"/>
  </w:num>
  <w:num w:numId="18" w16cid:durableId="299724409">
    <w:abstractNumId w:val="38"/>
  </w:num>
  <w:num w:numId="19" w16cid:durableId="214585573">
    <w:abstractNumId w:val="19"/>
  </w:num>
  <w:num w:numId="20" w16cid:durableId="1066490929">
    <w:abstractNumId w:val="47"/>
  </w:num>
  <w:num w:numId="21" w16cid:durableId="715423385">
    <w:abstractNumId w:val="44"/>
  </w:num>
  <w:num w:numId="22" w16cid:durableId="1937249199">
    <w:abstractNumId w:val="33"/>
  </w:num>
  <w:num w:numId="23" w16cid:durableId="875120882">
    <w:abstractNumId w:val="28"/>
  </w:num>
  <w:num w:numId="24" w16cid:durableId="186678191">
    <w:abstractNumId w:val="13"/>
  </w:num>
  <w:num w:numId="25" w16cid:durableId="1606767933">
    <w:abstractNumId w:val="10"/>
  </w:num>
  <w:num w:numId="26" w16cid:durableId="323244766">
    <w:abstractNumId w:val="37"/>
  </w:num>
  <w:num w:numId="27" w16cid:durableId="1266765837">
    <w:abstractNumId w:val="34"/>
  </w:num>
  <w:num w:numId="28" w16cid:durableId="2058580099">
    <w:abstractNumId w:val="12"/>
  </w:num>
  <w:num w:numId="29" w16cid:durableId="1827939819">
    <w:abstractNumId w:val="32"/>
  </w:num>
  <w:num w:numId="30" w16cid:durableId="1974561632">
    <w:abstractNumId w:val="35"/>
  </w:num>
  <w:num w:numId="31" w16cid:durableId="2077584432">
    <w:abstractNumId w:val="24"/>
  </w:num>
  <w:num w:numId="32" w16cid:durableId="549457125">
    <w:abstractNumId w:val="41"/>
  </w:num>
  <w:num w:numId="33" w16cid:durableId="690839328">
    <w:abstractNumId w:val="42"/>
  </w:num>
  <w:num w:numId="34" w16cid:durableId="1439368731">
    <w:abstractNumId w:val="18"/>
  </w:num>
  <w:num w:numId="35" w16cid:durableId="194194815">
    <w:abstractNumId w:val="16"/>
  </w:num>
  <w:num w:numId="36" w16cid:durableId="1983002961">
    <w:abstractNumId w:val="25"/>
  </w:num>
  <w:num w:numId="37" w16cid:durableId="1761029199">
    <w:abstractNumId w:val="17"/>
  </w:num>
  <w:num w:numId="38" w16cid:durableId="146939337">
    <w:abstractNumId w:val="29"/>
  </w:num>
  <w:num w:numId="39" w16cid:durableId="320279989">
    <w:abstractNumId w:val="39"/>
  </w:num>
  <w:num w:numId="40" w16cid:durableId="857700536">
    <w:abstractNumId w:val="20"/>
  </w:num>
  <w:num w:numId="41" w16cid:durableId="1058237152">
    <w:abstractNumId w:val="30"/>
  </w:num>
  <w:num w:numId="42" w16cid:durableId="865676539">
    <w:abstractNumId w:val="23"/>
  </w:num>
  <w:num w:numId="43" w16cid:durableId="1702629941">
    <w:abstractNumId w:val="46"/>
  </w:num>
  <w:num w:numId="44" w16cid:durableId="1303071946">
    <w:abstractNumId w:val="43"/>
  </w:num>
  <w:num w:numId="45" w16cid:durableId="233781796">
    <w:abstractNumId w:val="22"/>
  </w:num>
  <w:num w:numId="46" w16cid:durableId="1646468162">
    <w:abstractNumId w:val="36"/>
  </w:num>
  <w:num w:numId="47" w16cid:durableId="868107155">
    <w:abstractNumId w:val="26"/>
  </w:num>
  <w:num w:numId="48" w16cid:durableId="1315572812">
    <w:abstractNumId w:val="2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24C"/>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84F"/>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CA4"/>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38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3C7"/>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D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1E0A"/>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BA9"/>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366"/>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735"/>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477BB"/>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1A4"/>
    <w:rsid w:val="00693434"/>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1C3"/>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3FAC"/>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D5B"/>
    <w:rsid w:val="00706FB2"/>
    <w:rsid w:val="00707218"/>
    <w:rsid w:val="007074F5"/>
    <w:rsid w:val="00707DEE"/>
    <w:rsid w:val="00711909"/>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4F7F"/>
    <w:rsid w:val="00725714"/>
    <w:rsid w:val="0072615B"/>
    <w:rsid w:val="007267CF"/>
    <w:rsid w:val="00727843"/>
    <w:rsid w:val="0073079A"/>
    <w:rsid w:val="00731FCA"/>
    <w:rsid w:val="007325C8"/>
    <w:rsid w:val="00732B93"/>
    <w:rsid w:val="0073324D"/>
    <w:rsid w:val="0073362E"/>
    <w:rsid w:val="007345CD"/>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B11"/>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649"/>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3F6E"/>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DDE"/>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48B"/>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F6A"/>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6FB"/>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0ED6"/>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0C78"/>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4B64"/>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57C84"/>
    <w:rsid w:val="00B61ED0"/>
    <w:rsid w:val="00B6319D"/>
    <w:rsid w:val="00B63FDB"/>
    <w:rsid w:val="00B648B6"/>
    <w:rsid w:val="00B64967"/>
    <w:rsid w:val="00B65538"/>
    <w:rsid w:val="00B65A18"/>
    <w:rsid w:val="00B65F8B"/>
    <w:rsid w:val="00B6611D"/>
    <w:rsid w:val="00B66383"/>
    <w:rsid w:val="00B66799"/>
    <w:rsid w:val="00B66D30"/>
    <w:rsid w:val="00B66F33"/>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31D"/>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27C"/>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26E"/>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3F"/>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992"/>
    <w:rsid w:val="00D67252"/>
    <w:rsid w:val="00D70C19"/>
    <w:rsid w:val="00D71176"/>
    <w:rsid w:val="00D71FF6"/>
    <w:rsid w:val="00D720FC"/>
    <w:rsid w:val="00D728D1"/>
    <w:rsid w:val="00D72E79"/>
    <w:rsid w:val="00D7416B"/>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31BC"/>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02EC"/>
    <w:rsid w:val="00DC10C9"/>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32D"/>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27D"/>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0E3"/>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3AB"/>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9DF"/>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EA5"/>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706D5B"/>
    <w:pPr>
      <w:numPr>
        <w:numId w:val="48"/>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DDEFD637-41D0-478C-AC03-599E01FAB131}"/>
</file>

<file path=docProps/app.xml><?xml version="1.0" encoding="utf-8"?>
<Properties xmlns="http://schemas.openxmlformats.org/officeDocument/2006/extended-properties" xmlns:vt="http://schemas.openxmlformats.org/officeDocument/2006/docPropsVTypes">
  <Template>Normal.dotm</Template>
  <TotalTime>9</TotalTime>
  <Pages>6</Pages>
  <Words>1544</Words>
  <Characters>8802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bendamustine-Treanda-Bendeka-Belrapzo-Vivimusta 1705-A SGM 2024</vt:lpstr>
    </vt:vector>
  </TitlesOfParts>
  <Company>PCS Health Systems</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bendamustine-Treanda-Bendeka-Belrapzo-Vivimusta SGM 1705-A P2024a_R</dc:title>
  <dc:subject/>
  <dc:creator>CVS Caremark</dc:creator>
  <cp:keywords/>
  <cp:lastModifiedBy>Huerta, Linda M</cp:lastModifiedBy>
  <cp:revision>7</cp:revision>
  <cp:lastPrinted>2018-01-09T05:01:00Z</cp:lastPrinted>
  <dcterms:created xsi:type="dcterms:W3CDTF">2025-02-06T14:56:00Z</dcterms:created>
  <dcterms:modified xsi:type="dcterms:W3CDTF">2025-02-06T17:26:00Z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Order">
    <vt:r8>1084800</vt:r8>
  </property>
</Properties>
</file>